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RT240195 vom 8. Januar 2025</w:t>
      </w:r>
    </w:p>
    <w:p>
      <w:r>
        <w:t>ZH Obergericht, 2025-01-08, DE</w:t>
      </w:r>
    </w:p>
    <w:p>
      <w:r>
        <w:rPr>
          <w:b/>
        </w:rPr>
        <w:t xml:space="preserve">Quelle: </w:t>
      </w:r>
      <w:r>
        <w:t>https://mcp.opencaselaw.ch/entscheid/zh_obergericht_RT240195</w:t>
      </w:r>
    </w:p>
    <w:p>
      <w:r>
        <w:t>FR: ZH_OBERGERICHT RT240195 du 8 janvier 2025</w:t>
      </w:r>
    </w:p>
    <w:p>
      <w:r>
        <w:t>IT: ZH_OBERGERICHT RT240195 del 8 gennaio 2025</w:t>
      </w:r>
    </w:p>
    <w:p>
      <w:pPr>
        <w:pStyle w:val="Heading2"/>
      </w:pPr>
      <w:r>
        <w:t>Erwägungen</w:t>
      </w:r>
    </w:p>
    <w:p>
      <w:r>
        <w:rPr>
          <w:b/>
        </w:rPr>
        <w:t>E. 2</w:t>
      </w:r>
    </w:p>
    <w:p>
      <w:r>
        <w:t>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w:t>
      </w:r>
    </w:p>
    <w:p>
      <w:r>
        <w:t>- 3 - hauptungen und neue Beweismittel ausgeschlossen (Art. 326 Abs. 1 ZPO); was im erstinstanzlichen Verfahren nicht (rechtzeitig) vorgetragen wurde, kann im Be- schwerdeverfahren grundsätzlich nicht mehr geltend gemacht bzw. nachgeholt werden.</w:t>
      </w:r>
    </w:p>
    <w:p>
      <w:r>
        <w:rPr>
          <w:b/>
        </w:rPr>
        <w:t>E. 3</w:t>
      </w:r>
    </w:p>
    <w:p>
      <w:r>
        <w:t>Die Vorinstanz erwog zusammengefasst, mit dem durch die Vormund- schaftsbehörde Winterthur genehmigten Unterhaltsvertrag vom 21. November 2005 liege ein definitiver Rechtsöffnungstitel vor (Urk. 9 S. 3). Die Gesuchstellerin habe belegt, dass sie aufgrund der Bevorschussung der Unterhaltsbeiträge in den Kinderunterhaltsanspruch eingetreten sei (Urk. 9 S. 4 f.). Die geforderten Beträge seien ausgewiesen und fällig (Urk. 9 S. 5 ff.). In seiner Stellungnahme erkläre der Gesuchsgegner, dass seine Tochter seit Erhalt seiner AHV-Rente Ergänzungsleistungen in ihm unbekannter Höhe beziehe. Weiter mache der Gesuchsgegner unverständliche Ausführungen zu Steuererklärungen, einer Anpassung des Unterhaltsvertrags, dem Erhalt von Ergänzungsleistungen sowie einem Erbvorbezug. Die Vorinstanz erwog, bei diesen Ausführungen handle es sich grundsätzlich nicht um nach Art. 81 SchKG zulässige Einwendungen. Wollte der Gesuchsgegner die teilweise Tilgung seiner Unterhaltsschuld durch Ausbezahlung der Kinderrente geltend machen, so sei festzuhalten, dass diese soweit ersichtlich – jedenfalls die AHV-Kinderrente – bei der Berechnung der Unterhaltsbeiträge so- wie bei deren entsprechenden Bevorschussung durch die Gesuchstellerin berück- sichtigt worden sei, weshalb dieses Vorbringen den Rechtsöffnungstitel nicht zu entkräften vermöge (Urk. 9 S. 7).</w:t>
      </w:r>
    </w:p>
    <w:p>
      <w:r>
        <w:rPr>
          <w:b/>
        </w:rPr>
        <w:t>E. 4</w:t>
      </w:r>
    </w:p>
    <w:p>
      <w:r>
        <w:t>Der Gesuchsgegner macht – weitgehend unverständliche – Ausführun- gen zu öffentlich-rechtlichen Eigentumsbeschränkungen an Grundstücken, der Be- rechnung von Sozialleistungen und Steuerhinterziehungen. Weiter führt er aus, dass ihm Zusatzleistungen der AHV/IV verwehrt würden, der Lebensunterhalt sei- ner Tochter mit Zusatzleistungen der AHV/IV jedoch über sein Konto voll finanziert werde, was er als unlauteren Wettbewerb zu betrachten scheint. Die öffentlich- rechtlichen Eigentumsbeschränkungen an Grundstücken seien zu bereinigen (Urk. 8). Damit bringt der Gesuchsgegner einerseits unzulässige neue Behauptun- gen und neue Anträge vor, welche im Beschwerdeverfahren nicht berücksichtigt</w:t>
      </w:r>
    </w:p>
    <w:p>
      <w:r>
        <w:t>- 4 - werden können. Andererseits ist ein Zusammenhang dieser Ausführungen mit der betriebenen Forderung nicht ersichtlich und es mangelt an einer Auseinanderset- zung mit dem vorinstanzlichen Entscheid. Aufgrund dessen ist auf die Beschwerde nicht einzutreten. 5.1. Für das Beschwerdeverfahren beträgt der Streitwert Fr. 1'907.95. Die zweitinstanzliche Entscheidgebühr ist in Anwendung von Art. 48 i.V.m. Art. 61 Abs. 1 GebV SchKG auf Fr. 300.– festzusetzen und ausgangsgemäss dem Ge- suchsgegner aufzuerlegen (Art. 106 Abs. 1 ZPO). Parteientschädigungen sind keine zuzusprechen, da der Gesuchsgegner unterliegt und der Gesuchstellerin keine Aufwendungen entstanden sind (Art. 106 Abs. 1, Art. 95 Abs. 3 ZPO). 5.2. Eine Partei hat Anspruch auf unentgeltliche Rechtspflege, wenn sie (ku- mulativ) nicht über die erforderlichen Mittel verfügt und ihr Rechtsbegehren nicht aussichtslos erscheint (Art. 117 ZPO). Die Beschwerde war indes, wie oben aufge- zeigt, von vornherein aussichtslos, weshalb dem Gesuchsgegner die von ihm be- antragte unentgeltliche Rechtspflege für das Beschwerdeverfahren unabhängig von seiner finanziellen Situation nicht gewährt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