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RT240187 vom 10. Dezember 2024</w:t>
      </w:r>
    </w:p>
    <w:p>
      <w:r>
        <w:t>ZH Obergericht, 2024-12-10, DE</w:t>
      </w:r>
    </w:p>
    <w:p>
      <w:r>
        <w:rPr>
          <w:b/>
        </w:rPr>
        <w:t xml:space="preserve">Quelle: </w:t>
      </w:r>
      <w:r>
        <w:t>https://mcp.opencaselaw.ch/entscheid/zh_obergericht_RT240187</w:t>
      </w:r>
    </w:p>
    <w:p>
      <w:r>
        <w:t>FR: ZH_OBERGERICHT RT240187 du 10 décembre 2024</w:t>
      </w:r>
    </w:p>
    <w:p>
      <w:r>
        <w:t>IT: ZH_OBERGERICHT RT240187 del 10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29. Oktober 2024 erteilte die Vorinstanz den Gesuchstel- lern und Beschwerdegegnern (fortan Gesuchsteller) in der Betreibung Nr. … des Betreibungsamts Zürich 10 (Zahlungsbefehl vom 18. Juni 2024) gestützt auf den rechtskräftigen Einschätzungsentscheid des Steueramtes der Stadt Zürich für die Staats- und Gemeindesteuern 2022 vom 11. Dezember 2023 (Urk. 3/2-3) und die dazugehörige rechtskräftige Schlussrechnung vom 15. Januar 2024 (Urk. 3/3-4) definitive Rechtsöffnung für Fr. 2'945.20 nebst Zins zu 4.5 % seit 18. Juni 2024, für Fr. 10.45 und für Fr. 44.90. Die Entscheidgebühr von Fr. 300.– wurde dem Ge- suchsgegner und Beschwerdeführer (fortan Gesuchsgegner) auferlegt, wobei die Gerichtskosten von den Gesuchstellern zu beziehen, ihnen aber vom Gesuchs- gegner zu ersetzen seien (Urk. 8 S. 5 Dispositivziffern 1-2 = Urk. 11 S. 5 Disposi- tivziffern 1-2). Der Gesuchsgegner nahm dieses Urteil am 6. November 2024 per- sönlich in Empfang (vgl. Urk. 9b). b) Mit Eingabe vom 2. Dezember 2024 (gleichentags dem Empfang des Obergerichts des Kantons Zürich übergeben) erhob der Gesuchsgegner Be- schwerde gegen das vorgenannte Urteil (Urk. 10). c) Die vorinstanzlichen Akten wurden beigezogen (vgl. Urk. 1-9b).</w:t>
      </w:r>
    </w:p>
    <w:p>
      <w:r>
        <w:rPr>
          <w:b/>
        </w:rPr>
        <w:t>E. 2</w:t>
      </w:r>
    </w:p>
    <w:p>
      <w:r>
        <w:t>Die Beschwerdefrist beträgt zehn Tage (Art. 321 Abs. 2 ZPO i.V.m. Art. 251 lit. a ZPO; vgl. dazu auch die korrekte Rechtsmittelbelehrung im ange- fochtenen Urteil, Urk. 11 S. 5 Dispositivziffer 5). Die den Gesuchsgegner betref- fende Beschwerdefrist ist daher am 18. November 2024 abgelaufen (Art. 142 Abs. 1 und 3 ZPO). Eingaben müssen spätestens am letzten Tag der Frist beim Gericht eingereicht oder zu dessen Handen der Schweizerischen Post übergeben werden (Art. 143 Abs. 1 ZPO). Die am 2. Dezember 2024 dem Empfang des Obergerichts des Kantons Zürich übergebene Beschwerdeschrift ist somit verspä- tet eingereicht worden. Auf die Beschwerde des Gesuchsgegners ist demnach nicht einzutreten.</w:t>
      </w:r>
    </w:p>
    <w:p>
      <w:r>
        <w:rPr>
          <w:b/>
        </w:rPr>
        <w:t>E. 3</w:t>
      </w:r>
    </w:p>
    <w:p>
      <w:r>
        <w:t>Der Gesuchsgegner stellt für das Beschwerdeverfahren kein konkretes Gesuch um Gewährung der unentgeltlichen Rechtspflege (vgl. Urk. 10). Da die</w:t>
      </w:r>
    </w:p>
    <w:p>
      <w:r>
        <w:t>- 3 - Beschwerde von vornherein als aussichtslos anzusehen war (vgl. vorstehende Er- wägung 2), wäre dieses jedoch auch abzuweisen gewesen, wenn es gestellt wor- den wäre. Der Anspruch auf unentgeltliche Rechtspflege setzt neben der Mittello- sigkeit nämlich zusätzlich voraus, dass das Rechtsbegehren nicht aussichtslos er- scheint (Art. 117 lit. b ZPO).</w:t>
      </w:r>
    </w:p>
    <w:p>
      <w:r>
        <w:rPr>
          <w:b/>
        </w:rPr>
        <w:t>E. 4</w:t>
      </w:r>
    </w:p>
    <w:p>
      <w:r>
        <w:t>Die Prozesskosten werden der unterliegenden Partei auferlegt. Bei Nicht- eintreten gilt die klagende Partei bzw. die Partei, welche das Rechtsmittel erho- ben hat, als unterliegend (vgl. Art. 106 Abs. 1 ZPO), weshalb dem Gesuchsgeg- ner die Gerichtskosten des Beschwerdeverfahrens aufzuerlegen sind. Die Spruchgebühr ist gestützt auf Art. 48 i.V.m. Art. 61 Abs. 1 GebV SchKG auf Fr. 200.– festzusetzen. Mangels wesentlicher Umtriebe ist den Gesuchstellern für das Beschwerdeverfahren keine Entschädigung zuzusprechen (vgl. Art. 95 Abs. 3 ZPO). Der Gesuchsgegner seinerseits hat als unterliegende Partei keinen An- spruch auf Entschädigung (vgl. Art. 106 Abs. 1 ZPO), wobei er im Beschwerde- verfahren ohnehin keinen diesbezüglichen Antrag stellte (Urk. 10).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