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RT240183 vom 9. Dezember 2024</w:t>
      </w:r>
    </w:p>
    <w:p>
      <w:r>
        <w:t>ZH Obergericht, 2024-12-09, DE</w:t>
      </w:r>
    </w:p>
    <w:p>
      <w:r>
        <w:rPr>
          <w:b/>
        </w:rPr>
        <w:t xml:space="preserve">Quelle: </w:t>
      </w:r>
      <w:r>
        <w:t>https://mcp.opencaselaw.ch/entscheid/zh_obergericht_RT240183</w:t>
      </w:r>
    </w:p>
    <w:p>
      <w:r>
        <w:t>FR: ZH_OBERGERICHT RT240183 du 9 décembre 2024</w:t>
      </w:r>
    </w:p>
    <w:p>
      <w:r>
        <w:t>IT: ZH_OBERGERICHT RT240183 del 9 dicembre 2024</w:t>
      </w:r>
    </w:p>
    <w:p>
      <w:pPr>
        <w:pStyle w:val="Heading2"/>
      </w:pPr>
      <w:r>
        <w:t>Erwägungen</w:t>
      </w:r>
    </w:p>
    <w:p>
      <w:r>
        <w:rPr>
          <w:b/>
        </w:rPr>
        <w:t>E. 1</w:t>
      </w:r>
    </w:p>
    <w:p>
      <w:r>
        <w:t>Die vollständige Aufhebung der Urteile und Verfügungen des Bezirksge- richts Bülach vom 20. September 2024 und 9. Oktober 2024.</w:t>
      </w:r>
    </w:p>
    <w:p>
      <w:r>
        <w:rPr>
          <w:b/>
        </w:rPr>
        <w:t>E. 2</w:t>
      </w:r>
    </w:p>
    <w:p>
      <w:r>
        <w:t>Die Abweisung der Rechtsöffnungen in den Betreibungen Nr. 1 und Nr. 2.</w:t>
      </w:r>
    </w:p>
    <w:p>
      <w:r>
        <w:rPr>
          <w:b/>
        </w:rPr>
        <w:t>E. 3</w:t>
      </w:r>
    </w:p>
    <w:p>
      <w:r>
        <w:t>Die Gewährung der unentgeltlichen Rechtspflege für alle Verfahren ge- mäß Art. 117 ZPO.</w:t>
      </w:r>
    </w:p>
    <w:p>
      <w:r>
        <w:rPr>
          <w:b/>
        </w:rPr>
        <w:t>E. 4</w:t>
      </w:r>
    </w:p>
    <w:p>
      <w:r>
        <w:t>Die Rückweisung der Fälle zur erneuten Beurteilung unter Berücksichti- gung der verfassungsrechtlichen und menschenrechtlichen Garantien.</w:t>
      </w:r>
    </w:p>
    <w:p>
      <w:r>
        <w:rPr>
          <w:b/>
        </w:rPr>
        <w:t>E. 5</w:t>
      </w:r>
    </w:p>
    <w:p>
      <w:r>
        <w:t>Die Aufhebung der Verfahrenskosten und Zinsen aufgrund ihrer Unver- hältnismäßigkeit.</w:t>
      </w:r>
    </w:p>
    <w:p>
      <w:r>
        <w:rPr>
          <w:b/>
        </w:rPr>
        <w:t>E. 6</w:t>
      </w:r>
    </w:p>
    <w:p>
      <w:r>
        <w:t>Die Feststellung, dass mein rechtliches Gehör gemäß Art. 29 Abs. 2 BV verletzt wurde.</w:t>
      </w:r>
    </w:p>
    <w:p>
      <w:r>
        <w:rPr>
          <w:b/>
        </w:rPr>
        <w:t>E. 7</w:t>
      </w:r>
    </w:p>
    <w:p>
      <w:r>
        <w:t>Die Ansetzung einer mündlichen Verhandlung, um meine Argumente darlegen zu können." c) Mit der gleichen Beschwerdeschrift wurde auch noch ein anderes Urteil der Vorinstanz angefochten (Urk. 20 S. 1). Dafür wurde das Beschwerdeverfahren RT240184-O angelegt. d) Die vorinstanzlichen Akten wurden beigezogen (Urk. 1-19). Da sich die Beschwerde sogleich als offensichtlich unbegründet erweist, kann auf weitere Pro- zesshandlungen verzichtet werden (vgl. Art. 322 Abs. 1 ZPO).</w:t>
      </w:r>
    </w:p>
    <w:p>
      <w:r>
        <w:t>- 3 - 2. Soweit sich der Beschwerdeantrag auf Ansetzung einer mündlichen Ver- handlung auf das Beschwerdeverfahren beziehen würde, wäre er abzuweisen. Das Beschwerdeverfahren ist grundsätzlich ein schriftliches Verfahren (Art. 327 Abs. 2 ZPO); und da die Beschwerde innert der Beschwerdefrist vollständig begründet ein- zureichen ist (vgl. Art. 321 Abs. 1 ZPO), könnten an einer Verhandlung auch keine weiteren Argumente nachgebracht werden. 3.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der Gesuchsteller stütze sich auf die rechtskräftige und vollstreckbare Departementsverfügung des Departements für Justiz, Sicherheit und Gesundheit Graubünden vom 24. Oktober 2023, mit wel- cher dem Gesuchsgegner Verfahrenskosten von Fr. 250.-- auferlegt worden seien. Praxisgemäss sei mangels Bestreitung von einer ordnungsgemässen Zustellung auszugehen. Diese Verfügung stelle damit einen definitiven Rechtsöffnungstitel dar. Der Gesuchsgegner habe sich nicht vernehmen lassen und damit keine Ein- wendungen erhoben. Für die Hauptforderung sei somit definitive Rechtsöffnung zu erteilen. Für den verlangten Verzugszins sei ebenfalls Rechtsöffnung zu erteilen, da der Zinssatz von den zuständigen Behörden des Kantons Graubünden auf 4 %</w:t>
      </w:r>
    </w:p>
    <w:p>
      <w:r>
        <w:t>- 4 - festgesetzt worden sei und der Zinsenlauf nach Ablauf der Zahlungsfrist von 30 Ta- gen begonnen habe, mithin am 24. November 2023 (Urk. 21 S. 2-4). c1) Der Gesuchsgegner macht in seiner Beschwerde vorab zusammenge- fasst geltend, die Vorinstanz habe es unterlassen, die ordnungsgemässe Zustel- lung der Verfügung vom 24. Oktober 2023 nachzuweisen. Verfügungen könnten nur dann Grundlage für eine Rechtsöffnung sein, wenn sie ordnungsgemäss zuge- stellt und vollstreckbar seien. Es gebe jedoch keine substantiierten Beweise für die Zustellung. Ohne diesen Nachweis sei die Erteilung der Rechtsöffnung rechtswidrig (Urk. 20 S. 1). Dem ist entgegenzuhalten, dass die Vorinstanz erwogen hat, praxisgemäss sei von der ordnungsgemässen Zustellung auszugehen, sofern dies vom Schuldner nicht ausdrücklich und substantiiert bestritten werde; gemäss Vermerk auf der De- partementsverfügung vom 24. Oktober 2023 sei diese gleichentags dem Gesuchs- gegner mitgeteilt worden (Urk. 21 S. 3). Diese Erwägung wird in der Beschwerde nicht als unrichtige Rechtsanwendung beanstandet, womit es dabei bleibt. Der Ge- suchsgegner hat sodann im vorinstanzlichen Verfahren die ordnungsgemässe Zu- stellung nicht bestritten (er hat sich überhaupt nicht vernehmen lassen), womit die Vorinstanz für die korrekte Zustellung keine Beweise zu erheben hatte. c2) Der Gesuchsgegner macht in seiner Beschwerde sodann im Kern gel- tend, die Verfügung vom 24. Oktober 2023 sei unzutreffend, weil in jenem Verfah- ren sein rechtliches Gehör verletzt worden sei und die Forderung von Fr. 250.-- wie auch die Verzugszinsen unverhältnismässig und rechtswidrig seien, grundlegende verfassungs- und menschenrechtliche Prinzipien verletzen würden sowie in keinem Verhältnis zu seiner finanziellen Situation stünden (Urk. 20). Diese Vorbringen können im Rechtsöffnungsverfahren nicht berücksichtigt werden. Das vorliegende Verfahren auf definitive Rechtsöffnung ist ein reines Voll- streckungsverfahren; es geht in diesem Verfahren nur noch um die Vollstreckung einer Forderung, über welche bereits rechtskräftig bzw. vollstreckbar entschieden wurde. Eine Überprüfung jenes Entscheides (mit welchem über die Forderung ent- schieden wurde) hätte mit einem entsprechenden Rechtsmittel (hier: mit einer Be-</w:t>
      </w:r>
    </w:p>
    <w:p>
      <w:r>
        <w:t>- 5 - schwerde; vgl. Urk. 9/1 S. 6) stattfinden können. Im Rechtsöffnungsverfahren darf der zu vollstreckende Entscheide dagegen nicht mehr inhaltlich überprüft werden (vgl. BGE 148 III 30 E. 2.2). Ebenso wenig kann in einem Rechtsöffnungsverfahren geprüft werden, ob der Schuldner zur Zahlung der Betreibungsforderung finanziell in der Lage ist. Dies wird erst im Rahmen eines allfälligen Pfändungsvollzugs vom Betreibungsamt zu prüfen sein (Art. 92 und 93 SchKG). Die vorinstanzlichen Erwägungen zur Rechtsöffnung für die Verzugszinsen (Urk. 21 S. 4) werden in der Beschwerde nicht beanstandet, womit es dabei bleibt. c3) Der Gesuchsgegner bezeichnet die vorinstanzliche Entscheidgebühr von Fr. 65.-- als unverhältnismässig und rechtswidrig, ohne dies näher zu begrün- den (Urk. 20 S. 2). Der Rahmen für die Entscheidgebühr für Rechtsöffnungen mit einem Streitwert bis zu Fr. 1'000.-- (wie vorliegend) beträgt Fr. 40.-- bis Fr. 150.-- (Art. 48 Abs. 1 GebV SchKG). Die Vorinstanz hat ihre Entscheidgebühr damit be- scheiden angesetzt. c4) Soweit der Gesuchsgegner in seiner Beschwerde schliesslich geltend macht, die vorinstanzliche Abweisung seines Gesuchs um unentgeltliche Rechts- pflege sei fehlerhaft erfolgt (Urk. 20 Ziff. 2) ist darauf hinzuweisen, dass die Vor- instanz im vorliegend angefochtenen Urteil kein solches Gesuch abgewiesen hat (der Gesuchsgegner hat sich, wie erwähnt, im vorinstanzlichen Verfahren nicht ge- äussert und auch kein solches Gesuch gestellt; vgl. Urk. 4-10). Entsprechend ist darauf nicht weiter einzugehen. d) Nach dem Gesagten erweist sich die Beschwerde als offensichtlich un- begründet. Sie ist demgemäss abzuweisen. 4. a) Für das Beschwerdeverfahren beträgt der Streitwert Fr. 250.--. Die zweitinstanzliche Entscheidgebühr ist in Anwendung von Art. 48 i.V.m. Art. 61 Abs. 1 GebV SchKG auf Fr. 65.-- festzusetzen.</w:t>
      </w:r>
    </w:p>
    <w:p>
      <w:r>
        <w:t>- 6 - b) Die Gerichtskosten des Beschwerdeverfahrens sind ausgangsgemäss dem Gesuchsgegner aufzuerlegen (Art. 106 Abs. 1 ZPO). c) Der Gesuchsgegner hat ein Gesuch um unentgeltliche Rechtspflege für das Beschwerdeverfahren gestellt (Urk. 20 S. 2). Ein Anspruch auf unentgeltliche Rechtspflege setzt neben der Mittellosigkeit auch voraus, dass die Rechtsbegehren nicht aussichtslos erscheinen (Art. 117 lit. b ZPO). Die Beschwerde ist jedoch als aussichtslos anzusehen (vgl. vorstehende Erwägungen), weshalb das Gesuch um unentgeltliche Rechtspflege abzuweisen ist. d) Für das Beschwerdeverfahren sind keine Parteientschädigungen zuzu- sprechen, dem Gesuchsgegner zufolge seines Unterliegens, dem Gesuchsteller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