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RT240182 vom 5. Februar 2025</w:t>
      </w:r>
    </w:p>
    <w:p>
      <w:r>
        <w:t>ZH Obergericht, 2025-02-05, DE</w:t>
      </w:r>
    </w:p>
    <w:p>
      <w:r>
        <w:rPr>
          <w:b/>
        </w:rPr>
        <w:t xml:space="preserve">Quelle: </w:t>
      </w:r>
      <w:r>
        <w:t>https://mcp.opencaselaw.ch/entscheid/zh_obergericht_RT240182</w:t>
      </w:r>
    </w:p>
    <w:p>
      <w:r>
        <w:t>FR: ZH_OBERGERICHT RT240182 du 5 février 2025</w:t>
      </w:r>
    </w:p>
    <w:p>
      <w:r>
        <w:t>IT: ZH_OBERGERICHT RT240182 del 5 febbraio 2025</w:t>
      </w:r>
    </w:p>
    <w:p>
      <w:pPr>
        <w:pStyle w:val="Heading2"/>
      </w:pPr>
      <w:r>
        <w:t>Erwägungen</w:t>
      </w:r>
    </w:p>
    <w:p>
      <w:r>
        <w:rPr>
          <w:b/>
        </w:rPr>
        <w:t>E. 3</w:t>
      </w:r>
    </w:p>
    <w:p>
      <w:r>
        <w:t>Februar 2025) um Wiederherstellung der Nachfrist ersucht, was sie mit "einem Todesfall sowie auch Krankheit in der Familie" begründet, ohne jedoch Angaben zu Datum, Namen etc. zu machen resp. ohne Belege einzureichen (Urk. 7), dass damit kein Wiederherstellungsgrund glaubhaft gemacht ist, dass androhungsgemäss (Urk. 3 und 5, je Dispositivziffer 1) auf die Beschwerde nicht einzutreten ist (Art. 101 Abs. 3 ZPO), sowie dass die Gerichtskosten des Beschwerdeverfahrens ausgangsgemäss der Be- schwerdeführerin aufzuerlegen und für das Beschwerdeverfahren keine Parteient- schädigungen zuzusprechen sind (Art. 106 Abs. 1, Art. 95 Abs. 3 ZPO),</w:t>
      </w:r>
    </w:p>
    <w:p>
      <w:r>
        <w:t>- 3 -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