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RT240176 vom 27. November 2024</w:t>
      </w:r>
    </w:p>
    <w:p>
      <w:r>
        <w:t>ZH Obergericht, 2024-11-27, DE</w:t>
      </w:r>
    </w:p>
    <w:p>
      <w:r>
        <w:rPr>
          <w:b/>
        </w:rPr>
        <w:t xml:space="preserve">Quelle: </w:t>
      </w:r>
      <w:r>
        <w:t>https://mcp.opencaselaw.ch/entscheid/zh_obergericht_RT240176</w:t>
      </w:r>
    </w:p>
    <w:p>
      <w:r>
        <w:t>FR: ZH_OBERGERICHT RT240176 du 27 novembre 2024</w:t>
      </w:r>
    </w:p>
    <w:p>
      <w:r>
        <w:t>IT: ZH_OBERGERICHT RT240176 del 27 novembre 2024</w:t>
      </w:r>
    </w:p>
    <w:p>
      <w:pPr>
        <w:pStyle w:val="Heading2"/>
      </w:pPr>
      <w:r>
        <w:t>Erwägungen</w:t>
      </w:r>
    </w:p>
    <w:p>
      <w:r>
        <w:rPr>
          <w:b/>
        </w:rPr>
        <w:t>E. 15</w:t>
      </w:r>
    </w:p>
    <w:p>
      <w:r>
        <w:t>Oktober 2013 E. 3; BGer 5D_65/2014 vom 9. September 2014 E. 5.4.1; BGer 5A_488/2015 vom 21. August 2015 E. 3.2, je mit Hinweis auf BGE 138 III 374 E. 4.3.1). Was nicht in einer den gesetzlichen Begründungsanforderungen genü- genden Weise beanstandet wird, braucht von der Rechtsmittelinstanz nicht über- prüft zu werden. Das gilt zumindest insoweit, als ein Mangel nicht offensichtlich ist (BGE 147 III 176 E. 4.2.1). 2.2. Die Vorinstanz erwog, im als Rechtsöffnungstitel eingereichten Entscheid des Steuerrekursgerichts des Kantons Zürich vom 31. Oktober 2023 seien dem Ge- suchsgegner und B._____ Gerichtsgebühren in der Höhe von total Fr. 570.– je zur Hälfte und unter solidarischer Haftung eines jeden für den ganzen Betrag auferlegt worden. Der Gesuchsteller belege mittels Nichteintretensverfügung des Verwal- tungsgerichts des Kantons Zürich vom 15. Februar 2024 und Nichteintretensent- scheid des Bundesgerichts vom 24. April 2024, dass der genannte Entscheid des Steuerrekursgerichts des Kantons Zürich vom 31. Oktober 2023 in Rechtskraft er- wachsen und damit vollstreckbar geworden sei, womit ein definitiver Rechtsöff- nungstitel im Sinne von Art. 80 SchKG vorliege (Urk. 11 E. II. 1.3). Weiter bejahte die Vorinstanz die drei Identitäten und die Fälligkeit der Forderung bei Anhebung der Betreibung am 17. September 2024 (Urk. 11 E. II. 2.2 und 3.2). Ferner erwog sie, der Gesuchsgegner mache in seinen Stellungnahmen vom 12. Oktober 2024 und 16. Oktober 2024 unverständliche Ausführungen zu Grundstücken, Grundstückgewinnsteuern und unlauterem Wettbewerb. Dabei handle es sich nicht um nach Art. 81 SchKG zulässige Einwendungen, weshalb deren Vorbringen den Rechtsöffnungstitel nicht zu entkräften vermöchten (Urk. 11 E. II. 4). Die Gerichts- gebühren seien bis zum 6. Juni 2024 zu bezahlen gewesen, womit sich der Ge- suchsteller ab dem 7. Juni 2024 im Verzug befunden habe. Dem Gesuchsteller sei</w:t>
      </w:r>
    </w:p>
    <w:p>
      <w:r>
        <w:t>- 4 - daher Rechtsöffnung zu erteilen für Fr. 570.– nebst Zins zu 5 % seit 10. Juni 2024 (Urk. 11 E. II. 5.3 und 6). Betreffend das Gesuch um unentgeltliche Rechtspflege hielt die Vorinstanz fest, dass der Gesuchsgegner nichts zu seinem Gesuch ausführe und er zudem keine haltbaren Einwendungen mache. Entsprechend sei das Gesuch abzuweisen (Urk. 11 E. III. 2). 2.3. Die Beschwerdevorbringen des Gesuchsgegners sind kaum verständlich. Wie vor Vorinstanz macht er Ausführungen zu Grundstücken, Grundstückspreisen pro Quadratmeter, Grundstückgewinnsteuern und unlauterem Wettbewerb (Urk. 10; Urk. 14; vgl. auch Urk. 12/1–2). Ein Zusammenhang dieser Ausführungen mit den vorliegend betriebenen Forderungen ist nicht ersichtlich. Sollte er damit die Rich- tigkeit des Entscheids des Steuerrekursgerichts des Kantons Zürich vom 31. Okto- ber 2024 betreffend direkte Bundessteuer 2018 sowie Staats- und Gemeinde- steuer 2018 bestreiten, ist er damit im Rechtsöffnungsverfahren nicht mehr zu hö- ren, denn in diesem wird einzig geprüft, ob die Voraussetzungen für eine (vorlie- gend) definitive Rechtsöffnung erfüllt sind, d.h. ob ein entsprechender gültiger Rechtsöffnungstitel vorliegt und keine Einwendungen nach Art. 81 SchKG seitens des Schuldners gegeben sind, wonach die Forderung erlassen, getilgt, gestundet oder verjährt ist. Über den materiellen Bestand der Forderung bzw. über die mate- rielle Richtigkeit des Urteils ist hingegen nicht zu befinden (BGer 5A_661/2012 vom</w:t>
      </w:r>
    </w:p>
    <w:p>
      <w:r>
        <w:rPr>
          <w:b/>
        </w:rPr>
        <w:t>E. 17</w:t>
      </w:r>
    </w:p>
    <w:p>
      <w:r>
        <w:t>Januar 2013 E. 4.1; BGer 6B_413/2009 vom 13. August 2009 E. 1.2.3; je m.w.H.). Es hat daher beim vorinstanzlichen Entscheid und der damit begründeten Rechtsöffnung zu bleiben. Betreffend die Abweisung seines Armenrechtsgesuchs macht der Gesuchsgegner in seiner Beschwerdeschrift keinerlei Ausführungen, womit es auch diesbezüglich beim vorinstanzlichen Entscheid zu bleiben hat. Die Beschwerde erweist sich damit als offensichtlich unbegründet und ist dement- sprechend abzuweisen.</w:t>
      </w:r>
    </w:p>
    <w:p>
      <w:r>
        <w:t>- 5 - 3.1. Die zweitinstanzliche Entscheidgebühr ist in Anwendung von Art. 48 i.V.m. Art. 61 Abs. 1 GebV SchKG und ausgehend von einem Streitwert von Fr. 570.– auf Fr. 150.– festzusetzen. Die Gerichtskosten des Beschwerdeverfahrens sind aus- gangsgemäss dem Gesuchsgegner aufzuerlegen (Art. 106 Abs. 1 ZPO). Der Ge- suchsgegner hat ein Gesuch um Gewährung der unentgeltlichen Rechtspflege für das Beschwerdeverfahren gestellt (Urk. 10). Ein Anspruch auf unentgeltliche Rechtspflege setzt neben der Mittellosigkeit auch voraus, dass die Rechtsbegehren nicht aussichtslos erscheinen (Art. 117 lit. b ZPO). Die Beschwerde ist jedoch als aussichtslos anzusehen (vgl. vorstehende Erwägungen), weshalb das Gesuch um unentgeltliche Rechtspflege für das Beschwerdeverfahren abzuweisen ist. 3.2. Sodann sind für das Beschwerdeverfahren keine Parteientschädigungen zu- zusprechen, dem Gesuchsgegner zufolge seines Unterliegens, dem Gesuchsteller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