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RT240169 vom 22. November 2024</w:t>
      </w:r>
    </w:p>
    <w:p>
      <w:r>
        <w:t>ZH Obergericht, 2024-11-22, DE</w:t>
      </w:r>
    </w:p>
    <w:p>
      <w:r>
        <w:rPr>
          <w:b/>
        </w:rPr>
        <w:t xml:space="preserve">Quelle: </w:t>
      </w:r>
      <w:r>
        <w:t>https://mcp.opencaselaw.ch/entscheid/zh_obergericht_RT240169</w:t>
      </w:r>
    </w:p>
    <w:p>
      <w:r>
        <w:t>FR: ZH_OBERGERICHT RT240169 du 22 novembre 2024</w:t>
      </w:r>
    </w:p>
    <w:p>
      <w:r>
        <w:t>IT: ZH_OBERGERICHT RT240169 del 22 novembre 2024</w:t>
      </w:r>
    </w:p>
    <w:p>
      <w:pPr>
        <w:pStyle w:val="Heading2"/>
      </w:pPr>
      <w:r>
        <w:t>Erwägungen</w:t>
      </w:r>
    </w:p>
    <w:p>
      <w:r>
        <w:rPr>
          <w:b/>
        </w:rPr>
        <w:t>E. 1</w:t>
      </w:r>
    </w:p>
    <w:p>
      <w:r>
        <w:t>a) Die Parteien standen vor Vorinstanz in einem Rechtsöffnungsverfah- ren. Mit Urteil in unbegründeter Form (vgl. Art. 239 Abs. 1 lit. b ZPO) vom 28. Ok- tober 2024 entschied die Vorinstanz das Folgende (Urk. 2 S. 2): "1. Den Gesuchstellern wird definitive Rechtsöffnung erteilt in Betrei- bung Nr. …, Betreibungsamt Birmensdorf, Zahlungsbefehl vom 14. Februar 2024, für Fr. 2'771.65 nebst Zins zu 4.5 % seit 13. Februar 2024, Fr. 6.70 Zinsen, Fr. 38.45 Zins bis 12. Februar 2024.</w:t>
      </w:r>
    </w:p>
    <w:p>
      <w:r>
        <w:rPr>
          <w:b/>
        </w:rPr>
        <w:t>E. 2</w:t>
      </w:r>
    </w:p>
    <w:p>
      <w:r>
        <w:t>Die Spruchgebühr wird festgesetzt auf Fr. 220.00.</w:t>
      </w:r>
    </w:p>
    <w:p>
      <w:r>
        <w:rPr>
          <w:b/>
        </w:rPr>
        <w:t>E. 3</w:t>
      </w:r>
    </w:p>
    <w:p>
      <w:r>
        <w:t>Die Spruchgebühr wird dem Gesuchsgegner auferlegt. Sie wird von den Gesuchstellern bezogen, ist ihnen aber vom Gesuchsgeg- ner zu ersetzen.</w:t>
      </w:r>
    </w:p>
    <w:p>
      <w:r>
        <w:rPr>
          <w:b/>
        </w:rPr>
        <w:t>E. 4</w:t>
      </w:r>
    </w:p>
    <w:p>
      <w:r>
        <w:t>Den Gesuchstellern wird keine Parteientschädigung zugesprochen.</w:t>
      </w:r>
    </w:p>
    <w:p>
      <w:r>
        <w:rPr>
          <w:b/>
        </w:rPr>
        <w:t>E. 5</w:t>
      </w:r>
    </w:p>
    <w:p>
      <w:r>
        <w:t>Schriftliche Mitteilung an die Parteien und an das genannte Betrei- bungsamt.</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der Hauptsache beträgt Fr. 2'771.65. Die Beschwerde an das Bundesgericht hat keine aufschiebende Wirkung. Hinsichtlich des Fristenlaufs gelten die Art. 44 ff. BGG. Zürich, 22. November 2024 Obergericht des Kantons Zürich I. Zivilkammer Der Gerichtsschreiber: lic. iur. A. Baumgartner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