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RT240142 vom 25. Oktober 2024</w:t>
      </w:r>
    </w:p>
    <w:p>
      <w:r>
        <w:t>ZH Obergericht, 2024-10-25, DE</w:t>
      </w:r>
    </w:p>
    <w:p>
      <w:r>
        <w:rPr>
          <w:b/>
        </w:rPr>
        <w:t xml:space="preserve">Quelle: </w:t>
      </w:r>
      <w:r>
        <w:t>https://mcp.opencaselaw.ch/entscheid/zh_obergericht_RT240142</w:t>
      </w:r>
    </w:p>
    <w:p>
      <w:r>
        <w:t>FR: ZH_OBERGERICHT RT240142 du 25 octobre 2024</w:t>
      </w:r>
    </w:p>
    <w:p>
      <w:r>
        <w:t>IT: ZH_OBERGERICHT RT240142 del 25 ottobre 2024</w:t>
      </w:r>
    </w:p>
    <w:p>
      <w:pPr>
        <w:pStyle w:val="Heading2"/>
      </w:pPr>
      <w:r>
        <w:t>Erwägungen</w:t>
      </w:r>
    </w:p>
    <w:p>
      <w:r>
        <w:rPr>
          <w:b/>
        </w:rPr>
        <w:t>E. 1</w:t>
      </w:r>
    </w:p>
    <w:p>
      <w:r>
        <w:t>a) Mit Urteil vom 2. September 2024 erteilte das Bezirksgericht Win- terthur (Vorinstanz) dem Gesuchsteller in der Betreibung Nr. … des Betreibungs- amts Winterthur-Stadt (Zahlungsbefehl vom 8. Mai 2024) – für ausstehende Ge- richtskosten – definitive Rechtsöffnung für Fr. 800.-- sowie Kosten und Entschädi- gung gemäss diesem Urteil; mit gleichzeitiger Verfügung wurde das Gesuch des Gesuchsgegners um Gewährung der unentgeltlichen Rechtspflege abgewiesen (Urk. 7 = Urk. 10). b) Gegen diesen (ihm am 24. September 2024 zugestellten; Urk. 8) Ent- scheid erhob der Gesuchsgegner am 25. September 2024 fristgerecht Beschwerde und stellte den Beschwerdeantrag (Urk. 9): "öffentlich- rechtliche Eigentumsbeschränkungen an Grundstücken und Lie- genschaften, mit Tilgung der Vermögensnachbesteuerung, per Urteil entgelt- lich zu bereinigen" c) Die vorinstanzlichen Akten wurden beigezogen (Urk. 1-8). Da sich die Beschwerde sogleich als offensichtlich unbegründet bzw. unzulässig erweist, kann auf weitere Prozesshandlungen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 braucht vom Obergericht nicht überprüft zu werden und hat insofern grundsätzlich Bestand.</w:t>
      </w:r>
    </w:p>
    <w:p>
      <w:r>
        <w:t>- 3 - b) Die Vorinstanz erwog im Wesentlichen, der Gesuchsteller stütze sich auf zwei Beschlüsse des Obergerichts des Kantons Zürich vom 16. Februar 2023 und vom 31. August 2023 sowie auf ein Urteil des Bezirksgerichts Winterthur vom 8. Au- gust 2023, mit welchen dem Gesuchsgegner jeweils die Entscheidgebühren von insgesamt Fr. 800.-- (Fr. 300.--, Fr. 250.-- und Fr. 250.--) auferlegt worden seien. Diese Entscheide seien rechtskräftig und würden definitive Rechtsöffnungstitel dar- stellen. Die Forderungen seien sodann ausgewiesen und fällig. Die Stellungnahme des Gesuchsgegners sei schwer verständlich. Bei seinen Ausführungen zu Vermö- gensverzicht an Liegenschaften etc. erschliesse sich kein Zusammenhang mit den betriebenen Forderungen; soweit mit der Formulierung "entgeltlich zu bereinigen" eine Tilgung geltend gemacht werden sollte, sei eine solche mangels Unterlagen nicht bewiesen. Damit sei definitive Rechtsöffnung zu erteilen (Urk. 10 S. 2-5). c) Die Beschwerdevorbringen des Gesuchsgegners sind kaum verständ- lich. Sie beziehen sich wohl auf eine Verfügung vom 27. Oktober 2009 betreffend Veranlagung einer Grundstückgewinnsteuer infolge einer Abtretung einer Liegen- schaft an den Gesuchsgegner sowie eine Verfügung vom 23. November 2015 be- treffend Rückerstattung von Ergänzungsleistungen; beide Verfügungen betreffen wohl die Mutter des Gesuchsgegners (Urk. 4/2 und 4/3). Ein Zusammenhang die- ser Ausführungen mit den vorliegend betriebenen Forderungen ist, wie schon die Vorinstanz erwogen hat, nicht ersichtlich. Der Antrag der entgeltlichen Bereinigung stellt sodann, soweit verständlich, keine Einwendung der Tilgung der betriebenen Forderungen dar, sondern bezieht sich anscheinend auf öffentlich-rechtliche Eigen- tumsbeschränkungen, welche auf den ihm abgetretenen Grundstücken lasten. Dies kann im Rechtsöffnungsverfahren nicht geprüft werden. Die vorinstanzlichen Erwä- gungen werden in der Beschwerde jedenfalls nicht ersichtlich beanstandet, womit es bei diesen und der damit begründeten Rechtsöffnung bleibt. d) Nach dem Gesagten erweist sich die Beschwerde als unbegründet. Sie ist demgemäss abzuweisen.</w:t>
      </w:r>
    </w:p>
    <w:p>
      <w:r>
        <w:rPr>
          <w:b/>
        </w:rPr>
        <w:t>E. 3</w:t>
      </w:r>
    </w:p>
    <w:p>
      <w:r>
        <w:t>a) Für das Beschwerdeverfahren beträgt der Streitwert Fr. 800.--. Die zweitinstanzliche Entscheidgebühr ist in Anwendung von Art. 48 i.V.m. Art. 61 Abs. 1 GebV SchKG auf Fr. 150.-- festzusetzen.</w:t>
      </w:r>
    </w:p>
    <w:p>
      <w:r>
        <w:t>- 4 - b) Die Gerichtskosten des Beschwerdeverfahrens sind ausgangsgemäss dem Gesuchsgegner aufzuerlegen (Art. 106 Abs. 1 ZPO). c) Der Gesuchsgegner hat ein Gesuch um Gewährung der unentgeltlichen Rechtspflege für das Beschwerdeverfahren gestellt (Urk. 9). Ein Anspruch auf un- entgeltliche Rechtspflege setzt neben der Mittellosigkeit auch voraus, dass die Rechtsbegehren nicht aussichtslos erscheinen (Art. 117 lit. b ZPO). Die Be- schwerde ist jedoch als aussichtslos anzusehen (vgl. vorstehende Erwägungen), weshalb das Gesuch um unentgeltliche Rechtspflege für das Beschwerdeverfahren abzuweisen ist. Soweit die beantragte unentgeltliche Rechtspflege auch als Beschwerde ge- gen die vorinstanzliche Abweisung derselben gemeint gewesen wäre, hätte sie aus dem gleichen Grund – Aussichtslosigkeit der Rechtsposition des Gesuchsgegners im vorinstanzlichen Verfahren – abgewiesen werden müssen. d) Für das Beschwerdeverfahren sind keine Parteientschädigungen zuzu- sprechen, dem Gesuchsgegner zufolge seines Unterliegens, dem Gesuchsteller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