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RT240133 vom 16. September 2024</w:t>
      </w:r>
    </w:p>
    <w:p>
      <w:r>
        <w:t>ZH Obergericht, 2024-09-16, DE</w:t>
      </w:r>
    </w:p>
    <w:p>
      <w:r>
        <w:rPr>
          <w:b/>
        </w:rPr>
        <w:t xml:space="preserve">Quelle: </w:t>
      </w:r>
      <w:r>
        <w:t>https://mcp.opencaselaw.ch/entscheid/zh_obergericht_RT240133</w:t>
      </w:r>
    </w:p>
    <w:p>
      <w:r>
        <w:t>FR: ZH_OBERGERICHT RT240133 du 16 septembre 2024</w:t>
      </w:r>
    </w:p>
    <w:p>
      <w:r>
        <w:t>IT: ZH_OBERGERICHT RT240133 del 16 settembre 2024</w:t>
      </w:r>
    </w:p>
    <w:p>
      <w:pPr>
        <w:pStyle w:val="Heading2"/>
      </w:pPr>
      <w:r>
        <w:t>Erwägungen</w:t>
      </w:r>
    </w:p>
    <w:p>
      <w:r>
        <w:rPr>
          <w:b/>
        </w:rPr>
        <w:t>E. 21</w:t>
      </w:r>
    </w:p>
    <w:p>
      <w:r>
        <w:t>August 2015, E. 3.2 [je m.H. auf BGE 138 III 374 E. 4.3.1 S. 375]). 2.3. Diesen Anforderungen genügt die Beschwerdeschrift des Gesuchsgegners nicht. So macht er mit dieser nochmals dasselbe wie vor Vorinstanz geltend: Er habe versehentlich nur "Rechtsvorschlag" angekreuzt, obwohl er eigentlich "Rechtsvorschlag (seit Konkurs) kein neues Vermögen" habe ankreuzen wollen. Aufgrund seiner finanziellen Situation sei er nicht in der Lage, die Forderung zu bezahlen. Er arbeite immer noch 100 %, obwohl es ihm gesundheitlich nicht gut gehe (Urk. 10). Mit den ausführlichen und zutreffenden Erwägungen der Vorinstanz setzt er sich überhaupt nicht auseinander. Ferner ist er mit seinem erstmaligen Vor- bringen, wonach er in einem ähnlichen Fall im Jahr 2017 das Kreuzchen beim Be- treibungsamt am gleichen Ort gemacht habe, aufgrund des Novenverbots im Be- schwerdeverfahren nicht mehr zu hören (vgl. Art. 326 Abs. 1 ZPO). Ohnehin kann er daraus für den vorliegenden Fall nichts zu seinen Gunsten ableiten. Auf seine Beschwerde ist demnach nicht einzutreten. 3. Die Entscheidgebühr für das Beschwerdeverfahren ist ausgehend von einem Streitwert von Fr. 47'480.95 in Anwendung von Art. 48 in Verbindung mit Art. 61 Abs. 1 GebV SchKG auf Fr. 500.– festzusetzen. Die Gerichtskosten sind ausgangs- gemäss dem Gesuchsgegner aufzuerlegen (Art. 106 Abs. 1 ZPO). Parteientschä-</w:t>
      </w:r>
    </w:p>
    <w:p>
      <w:r>
        <w:t>- 5 - digungen sind im Beschwerdeverfahren keine zuzusprechen, dem Gesuchsgegner infolge seines Unterliegens, der Gesuchstellerin mangels relevanter Umtriebe (vgl.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