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RT240132 vom 17. September 2024</w:t>
      </w:r>
    </w:p>
    <w:p>
      <w:r>
        <w:t>ZH Obergericht, 2024-09-17, DE</w:t>
      </w:r>
    </w:p>
    <w:p>
      <w:r>
        <w:rPr>
          <w:b/>
        </w:rPr>
        <w:t xml:space="preserve">Quelle: </w:t>
      </w:r>
      <w:r>
        <w:t>https://mcp.opencaselaw.ch/entscheid/zh_obergericht_RT240132</w:t>
      </w:r>
    </w:p>
    <w:p>
      <w:r>
        <w:t>FR: ZH_OBERGERICHT RT240132 du 17 septembre 2024</w:t>
      </w:r>
    </w:p>
    <w:p>
      <w:r>
        <w:t>IT: ZH_OBERGERICHT RT240132 del 17 settembre 2024</w:t>
      </w:r>
    </w:p>
    <w:p>
      <w:pPr>
        <w:pStyle w:val="Heading2"/>
      </w:pPr>
      <w:r>
        <w:t>Erwägungen</w:t>
      </w:r>
    </w:p>
    <w:p>
      <w:r>
        <w:rPr>
          <w:b/>
        </w:rPr>
        <w:t>E. 2</w:t>
      </w:r>
    </w:p>
    <w:p>
      <w:r>
        <w:t>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gesetzlichen Begrün- dungsanforderungen genügenden Weise beanstandet wird, braucht von der Rechtsmittelinstanz nicht überprüft zu werden. Das gilt zumindest insoweit, als ein Mangel nicht offensichtlich ist (BGE 147 III 176 E. 4.2.1). 3.1. Die Vorinstanz erwog, die Gesuchstellerin verlange Rechtsöffnung für die von ihr bevorschussten Unterhaltsbeiträge seit Dezember 2022 bis und mit April 2024 in der Höhe von total Fr. 16'252.– (17 Monate à Fr. 956.–, davon Fr. 690.– Barun- terhalt und Fr. 266.– Betreuungsunterhalt). Weiter verlange sie Rechtsöffnung für die von ihr nicht bevorschussten, aber durch die Sozialhilfe abgegoltenen Betreu- ungsunterhaltsbeiträge für Oktober 2022 und November 2022 à je Fr. 1'130.– sowie ab Dezember 2022 bis und mit April 2024 à je Fr. 1'674.– pro Monat, mithin total Fr. 30'718.– (2 Monate à Fr. 1'130 + 17 Monate à Fr. 1'674.–). Gesamthaft mache die Gesuchstellerin damit Fr. 46'970.– (Fr. 16'252.– + Fr. 30'718.–) geltend, wovon sie Zahlungen des Gesuchsgegners in der Höhe von total Fr. 20'448.70 in Abzug bringe. Daraus resultiere schliesslich eine Restforderung in der Höhe von Fr. 26'521.– (Fr. 46'970.– abzüglich Fr. 20'448.70), was so von der Gesuchstellerin auch in Betreibung gesetzt worden sei und wofür die Gesuchstellerin Rechtsöff-</w:t>
      </w:r>
    </w:p>
    <w:p>
      <w:r>
        <w:t>- 4 - nung verlange. Der Betrag der in Betreibung gesetzten Forderung sei damit ohne Weiteres ausgewiesen. Die Unterhaltsbeiträge seien monatlich im Voraus zu be- zahlen gewesen, womit die Unterhaltsbeiträge für die Monate Oktober 2022 bis und mit April 2024 bei Anhebung der Betreibung am 22. April 2024 (Datum Zustellung Zahlungsbefehl) fällig gewesen seien (Urk. 16 E. II. 3.2 f.). Der Gesuchsgegner wende gegen die Erteilung der Rechtsöffnung zusammenge- fasst und im Wesentlichen ein, seine Exfrau erziele nun ein Einkommen, da sie 20 % bis 30 % arbeite sowie Unterstützung bzw. ein Einkommen vom Sozialamt erhalte, das sie nur zurückzahlen müsse, wenn sie durch ein Glücksspiel oder Erb- schaften Gewinne erziele. Sie sei verpflichtet, ihm ihr Einkommen mitzuteilen, was sie aber nicht getan habe. Deshalb habe er begonnen, nur noch Fr. 1'500.– pro Monat zu bezahlen. Er sei im August umgezogen und lebe nun in C._____, wo er höhere Miet- und Krankenversicherungskosten habe als in D._____. Er habe sei- nen Rechtsanwalt kontaktiert, der das Problem mit der Rechtsanwältin seiner Exfrau aussergerichtlich habe lösen wollen. Der Rechtsanwalt habe sich allerdings nicht mehr gemeldet. Er habe bis September 2023 Krankentaggeld erhalten. Seit Oktober 2023 erhalte er keine Zahlungen der Versicherung mehr, sondern er er- halte seit November 2023 Sozialhilfe, wodurch er nicht mehr in der Lage sei, Un- terhaltszahlungen zu leisten. Seine Exfrau und er seien nun seit Mai 2023 geschie- den. Er sei sicher, dass er von seiner Exfrau nur ausgenutzt worden sei, dass sie in die Schweiz komme. Die falsche Anklage durch seine Exfrau habe ihn emotional sehr verletzt. Das Sozialamt B._____ habe sich ihm gegenüber nicht fair verhalten und er weigere sich, eine Schuld anzuerkennen, die nicht ihm gehöre (Urk. 16 E. II. 4.1). Damit mache der Gesuchsgegner – so die Vorinstanz – keine nach Art. 81 Abs. 1 SchKG zulässigen Einreden geltend: Angeordnete Eheschutzmassnahmen hätten Geltung, bis sie durch vorsorgliche Massnahmen im Scheidungsverfahren oder die Regelung nach der Scheidung selber abgelöst würden. Gemäss Art. 179 ZGB könne das Gericht bei veränderten Verhältnissen (wie sie der Gesuchsgegner be- haupte), auf Begehren eines Ehegatten die Eheschutzmassnahmen anpassen oder sie aufheben, wenn ihr Grund weggefallen sei. Der Gesuchsgegner habe keinen</w:t>
      </w:r>
    </w:p>
    <w:p>
      <w:r>
        <w:t>- 5 - die abgeänderten Eheschutzmassnahmen vom 31. August 2022 aufhebenden oder abändernden Entscheid beigebracht, sodass von deren Fortbestand bis zum Ende der vorliegend relevanten Perioden auszugehen sei. Der Gesuchsgegner habe der Gesuchstellerin damit in der relevanten Periode von Oktober 2022 bis und mit April 2024 nach wie vor monatlich Fr. 690.– Betreuungsunterhalt und Fr. 1'940.– Barun- terhalt geschuldet. Die behaupteten Veränderungen der persönlichen Verhältnisse des Gesuchsgegner könnten bei Vorliegen eines nach wie vor gültigen Eheschut- zentscheides im Rechtsöffnungsverfahren nicht berücksichtigt werden. Soweit die Einwendungen des Gesuchsgegners seine eigene finanzielle Leistungsfähigkeit beträfen, vermöchten diese den Rechtsöffnungstitel im Übrigen ohnehin nicht im Sinne von Art. 81 SchKG zu entkräften und seien sie im Rahmen des Rechtsöff- nungsverfahrens unbeachtlich. Im Rahmen der Fortsetzung der Betreibung werde es vielmehr Aufgabe des Betreibungsamtes sein, zu klären, zu welchen Zahlungen der Gesuchsgegner in der Lage sei. Schliesslich sei darauf hinzuweisen, dass die vom Gesuchsgegner (lediglich) behaupteten, aber nicht weiter belegten Zahlungen im Umfang von Fr. 1'500.– monatlich von der Gesuchstellerin im Umfang von total Fr. 20'448.70 in Abzug gebracht worden seien (Urk. 16 E. II. 4.2). Andere im Sinne von Art. 81 SchKG zulässige Einreden bringe der Gesuchsgegner nicht vor. Damit sei der Gesuchstellerin Rechtsöffnung für Fr. 26'521.30 zu erteilen (Urk. 16 E. II. 4.3). 3.2. Mit seiner Beschwerde bringt der Gesuchsgegner im Wesentlichen nochmals dasselbe wie vor Vorinstanz vor, nämlich dass er die Forderung der Gesuchstellerin unter keinen Umständen akzeptiere, seine Ex-Frau ihre Einnahmen nicht offenlege, sein damaliger Anwalt aussergerichtlich eine Abänderung der Eheschutzmassnah- men habe erzielen wollen, er von diesem jedoch nichts mehr gehört habe, er seit September 2023 keine Krankentaggelder mehr erhalte und aufgrund seiner Ar- beitsunfähigkeit seit November 2023 Sozialhilfe beziehe. Sobald alle Einkünfte sei- ner Ex-Frau offenlägen, würde er mit seinem Anwalt die relevanten Dokumente prüfen und dann bereit sein, eine Lösung zu besprechen (Urk. 13). Wie die Vorinstanz zutreffend festhielt, prüft das Rechtsöffnungsgericht nicht, ob der Rechtsöffnungstitel noch den aktuellen Gegebenheiten entspricht oder abge-</w:t>
      </w:r>
    </w:p>
    <w:p>
      <w:r>
        <w:t>- 6 - ändert werden soll. Die Kognition des Rechtsöffnungsgerichts beschränkt sich auf die Prüfung der Vollstreckbarkeit des Rechtsöffnungstitels sowie der Einwendun- gen der Tilgung, Stundung und Verjährung. Dass (noch) kein vollstreckbares Urteil betreffend die Abänderung des Entscheids des Kreisgerichts Rheintal, Familien- richter, vom 31. August 2022 betreffend Eheschutz (Abänderung) vorliegt, rügt der Gesuchsgegner nicht als unzutreffend. Damit stellt das vorgenannte Urteil nach wie vor einen (vollstreckbaren) definitiven Rechtsöffnungstitel für die betriebenen Un- terhaltsbeiträge dar. Daran vermag auch seine aktuelle finanzielle Situation nichts zu ändern. Seine Zahlungsfähigkeit wird – wie von der Vorinstanz zutreffend aus- geführt – erst vom Betreibungsamt zu prüfen sein, falls die Gesuchstellerin das Fortsetzungsbegehren stellt. Die Beschwerde des Gesuchsgegners erweist sich damit als offensichtlich unbegründet, weshalb sie abzuweisen ist.</w:t>
      </w:r>
    </w:p>
    <w:p>
      <w:r>
        <w:rPr>
          <w:b/>
        </w:rPr>
        <w:t>E. 4</w:t>
      </w:r>
    </w:p>
    <w:p>
      <w:r>
        <w:t>Die Entscheidgebühr für das Beschwerdeverfahren ist ausgehend von einem Streitwert von Fr. 26'521.30 in Anwendung von Art. 48 in Verbindung mit Art. 61 Abs. 1 GebV SchKG auf Fr. 500.– festzusetzen. Die Gerichtskosten sind ausgangs- gemäss dem Gesuchsgegner aufzuerlegen (Art. 106 Abs. 1 ZPO). Parteientschä- digungen sind im Beschwerdeverfahren keine zuzusprechen, dem Gesuchsgegner infolge seines Unterliegens, der Gesuchstellerin mangels relevanter Umtriebe (vgl. Art. 95 Abs. 3 ZPO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