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RT240129 vom 14. Oktober 2024</w:t>
      </w:r>
    </w:p>
    <w:p>
      <w:r>
        <w:t>ZH Obergericht, 2024-10-14, DE</w:t>
      </w:r>
    </w:p>
    <w:p>
      <w:r>
        <w:rPr>
          <w:b/>
        </w:rPr>
        <w:t xml:space="preserve">Quelle: </w:t>
      </w:r>
      <w:r>
        <w:t>https://mcp.opencaselaw.ch/entscheid/zh_obergericht_RT240129</w:t>
      </w:r>
    </w:p>
    <w:p>
      <w:r>
        <w:t>FR: ZH_OBERGERICHT RT240129 du 14 octobre 2024</w:t>
      </w:r>
    </w:p>
    <w:p>
      <w:r>
        <w:t>IT: ZH_OBERGERICHT RT240129 del 14 ottobre 2024</w:t>
      </w:r>
    </w:p>
    <w:p>
      <w:pPr>
        <w:pStyle w:val="Heading2"/>
      </w:pPr>
      <w:r>
        <w:t>Erwägungen</w:t>
      </w:r>
    </w:p>
    <w:p>
      <w:r>
        <w:rPr>
          <w:b/>
        </w:rPr>
        <w:t>E. 3</w:t>
      </w:r>
    </w:p>
    <w:p>
      <w:r>
        <w:t>September 2024 (Urk. 9), unter Hinweis darauf, dass dem Beschwerdeführer mit Verfügung vom 4. Septem- ber 2024 in Anwendung von Art. 132 Abs. 1 ZPO Frist angesetzt wurde, um die Beschwerdeschrift zu unterzeichnen, ansonsten diese als nicht erfolgt gelte (Urk. 11), da die Verfügung vom Beschwerdeführer nicht abgeholt wurde, er jedoch mit einer Zustellung rechnen musste und diese daher im Sinne von Art. 138 Abs. 3 lit. a ZPO als am 16. September 2024 zugestellt gilt, sodass die zehntägige Nachfrist zur Un- terzeichnung der Beschwerdeschrift am 26. September 2024 ablief, da innert Frist und bis zum heutigen Tag hierorts keine durch den Beschwerdefüh- rer unterzeichnete Beschwerdeschrift eingegangen ist, weshalb die Beschwerdeschrift vom 3. September 2024 androhungsgemäss (vgl. Urk. 11 Dispositiv-Ziffer 1) als nicht erfolgt gilt und das Beschwerdeverfahren ent- sprechend abzuschreiben ist (Art. 242 ZPO), da Gerichtskosten entstehen, auch wenn die Beschwerde als nicht erfolgt gilt, da der Beschwerdeführer das Beschwerdeverfahren verursacht hat, weshalb ihm die in Anwendung von Art. 61 Abs. 1 i.V.m. Art. 48 Abs. 1 GebV SchKG auf Fr. 100.– festzusetzenden Gerichtskosten aufzuerlegen sind (Art. 106 Abs. 1 ZPO und Art. 108 ZPO), da von der Zusprechung von Parteientschädigungen abzusehen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