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RT240128 vom 18. September 2024</w:t>
      </w:r>
    </w:p>
    <w:p>
      <w:r>
        <w:t>ZH Obergericht, 2024-09-18, DE</w:t>
      </w:r>
    </w:p>
    <w:p>
      <w:r>
        <w:rPr>
          <w:b/>
        </w:rPr>
        <w:t xml:space="preserve">Quelle: </w:t>
      </w:r>
      <w:r>
        <w:t>https://mcp.opencaselaw.ch/entscheid/zh_obergericht_RT240128</w:t>
      </w:r>
    </w:p>
    <w:p>
      <w:r>
        <w:t>FR: ZH_OBERGERICHT RT240128 du 18 septembre 2024</w:t>
      </w:r>
    </w:p>
    <w:p>
      <w:r>
        <w:t>IT: ZH_OBERGERICHT RT240128 del 18 settembre 2024</w:t>
      </w:r>
    </w:p>
    <w:p>
      <w:pPr>
        <w:pStyle w:val="Heading2"/>
      </w:pPr>
      <w:r>
        <w:t>Erwägungen</w:t>
      </w:r>
    </w:p>
    <w:p>
      <w:r>
        <w:rPr>
          <w:b/>
        </w:rPr>
        <w:t>E. 21</w:t>
      </w:r>
    </w:p>
    <w:p>
      <w:r>
        <w:t>August 2015 E. 3.2 [je m.H. auf BGE 138 III 374 E. 4.3.1 S. 375]). 2.2. 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 3. Die Vorinstanz erwog im Wesentlichen, der Gesuchsteller stütze sein Ge- such auf die rechtskräftige Verfügung des Strassenverkehrsamts des Kantons Zü- rich vom 2. Juni 2022, mit welcher der Gesuchsgegner zur Zahlung einer Gebühr von insgesamt Fr. 230.– (Fr. 50.– Massnahme Führerausweis + Fr. 180.– AMA Po- lizeiauftrag zum Einzug des Führerausweises) verpflichtet worden sei. Weiter habe der Gesuchsteller ein Mahnschreiben vom 27. September 2022 ins Recht gelegt. Die eingereichte Verfügung sei vollstreckbar und stelle einen definitiven Rechtsöff- nungstitel dar. Der Gesuchsgegner beantrage in seiner Stellungnahme vom 20. Mai 2024 die Abweisung des Gesuchs. Soweit er in Ziff. 4 seiner Eingabe sinn- gemäss die inhaltliche Richtigkeit der Verfügung in Abrede stelle, sei er darauf hin- zuweisen, dass das Rechtsöffnungsgericht nur die Vollstreckbarkeit des vorgeleg- ten Titels zu überprüfen habe. Dem Gericht stehe es nicht zu, über die materielle Richtigkeit der Verfügung zu befinden. In Ziff. 6 der Eingabe bringe der Gesuchs- gegner weiter vor, dass die Stadtpolizei den Ausweis eingezogen habe und der Kanton somit nicht berechtigt sei, dies in Rechnung zu setzen. Damit stelle der Gesuchsgegner sinngemäss die Aktivlegitimation des Gesuchstellers in Abrede. Der entsprechenden Verfügung selbst sei jedoch zu entnehmen, dass diese vom Kanton Zürich ausgestellt worden sei, womit der Kanton Zürich als Berechtigter direkt aus dem Titel hervorgehe und damit auch diese Einwendung der Rechtsöff- nung nicht entgegenstehe. Da sich die Vorbringen des Gesuchsgegners allesamt als unbehelflich erwiesen, aus den Akten keine anderen Gründe hervorgingen, die</w:t>
      </w:r>
    </w:p>
    <w:p>
      <w:r>
        <w:t>- 4 - der Erteilung der Rechtsöffnung entgegenstünden, und die Forderung nebst Zins durch die eingereichten Unterlagen ausgewiesen sei, sei dem Gesuchsteller hierfür antragsgemäss die definitive Rechtsöffnung zu erteilen. 4. Der Gesuchsgegner setzt sich nicht mit den vorinstanzlichen Erwägungen auseinander. Er wiederholt in seiner Beschwerde im Wesentlichen, was er bereits vor Vorinstanz vorgetragen hat, resp. substantiiert seine vorinstanzlichen Vorbrin- gen unzulässig (vgl. Erwägung 2.2. vorstehend) nach. Darüber hinaus richtet sich der Gesuchsgegner mit seiner Beschwerde gegen die Forderung als solche (Urk. 19). Wie bereits die Vorinstanz richtig erwog, ist es dem Rechtsöffnungsge- richt nicht erlaubt, den Rechtsöffnungstitel materiell (inhaltlich) zu überprüfen. Die Einwendungen des Gesuchsgegners können deshalb im Verfahren um definitive Rechtsöffnung ohnehin nicht berücksichtigt werden. Zusammengefasst genügen die Vorbringen des Gesuchsgegners den Begründungsanforderungen an eine Be- schwerde nicht, weshalb auf die Beschwerde nicht einzutreten ist. 5. Für das Beschwerdeverfahren beträgt der Streitwert Fr. 230.–. Die zweitinstanzliche Entscheidgebühr ist in Anwendung von Art. 48 i.V.m. Art. 61 Abs. 1 GebV SchKG auf Fr. 150.– festzusetzen. Die Gerichtskosten des Beschwer- deverfahrens sind ausgangsgemäss dem Gesuchsgegner aufzuerlegen (Art. 106 Abs. 1 ZPO). Für das Beschwerdeverfahren sind keine Parteientschädigungen zuzu- sprechen, dem Gesuchsgegner zufolge seines Unterliegens, dem Gesuchsteller mangels relevanter Umtriebe (Art. 106 Abs. 1,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