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RT240110 vom 26. August 2024</w:t>
      </w:r>
    </w:p>
    <w:p>
      <w:r>
        <w:t>ZH Obergericht, 2024-08-26, DE</w:t>
      </w:r>
    </w:p>
    <w:p>
      <w:r>
        <w:rPr>
          <w:b/>
        </w:rPr>
        <w:t xml:space="preserve">Quelle: </w:t>
      </w:r>
      <w:r>
        <w:t>https://mcp.opencaselaw.ch/entscheid/zh_obergericht_RT240110</w:t>
      </w:r>
    </w:p>
    <w:p>
      <w:r>
        <w:t>FR: ZH_OBERGERICHT RT240110 du 26 août 2024</w:t>
      </w:r>
    </w:p>
    <w:p>
      <w:r>
        <w:t>IT: ZH_OBERGERICHT RT240110 del 26 agosto 2024</w:t>
      </w:r>
    </w:p>
    <w:p>
      <w:pPr>
        <w:pStyle w:val="Heading2"/>
      </w:pPr>
      <w:r>
        <w:t>Erwägungen</w:t>
      </w:r>
    </w:p>
    <w:p>
      <w:r>
        <w:rPr>
          <w:b/>
        </w:rPr>
        <w:t>E. 1</w:t>
      </w:r>
    </w:p>
    <w:p>
      <w:r>
        <w:t>a) Mit Urteil vom 9. Juli 2024 wies das Bezirksgericht Zürich (Vorin- stanz) das Rechtsöffnungsgesuch in der Betreibung Nr. 1 des Betreibungsamts Zü- rich 1 (Zahlungsbefehl vom 30. April 2024) – für Fr. 32'400.-- nebst Zins und Kos- ten – ab; die Kosten wurden der Gesuchstellerin auferlegt (Urk. 4 = Urk. 7). b) Hiergegen erhob die Gesuchstellerin am 29. Juli 2024 fristgerecht Be- schwerde und stellte die Beschwerdeanträge (Urk. 6 S. 1): "1 – Der Urteil vom 9. Juli 2024 sei für nichtig zu erklären und aufzuheben und die Sache sei der Vorinstanz in der Sinne der Erwägung zurückzuweisen.</w:t>
      </w:r>
    </w:p>
    <w:p>
      <w:r>
        <w:rPr>
          <w:b/>
        </w:rPr>
        <w:t>E. 2</w:t>
      </w:r>
    </w:p>
    <w:p>
      <w:r>
        <w:t>In der Betreibung Nr 1 des Betreibungsamt Zürich Kreis 1 sei gestützt auf Art 80 SchKG Rechtsöffnung zu erteilen für CHF32,400.00 nebst Zins von 5% seit 17.03.2022 plus Betreibungskosten von CHF104.00</w:t>
      </w:r>
    </w:p>
    <w:p>
      <w:r>
        <w:rPr>
          <w:b/>
        </w:rPr>
        <w:t>E. 3</w:t>
      </w:r>
    </w:p>
    <w:p>
      <w:r>
        <w:t>Rechtsvorschlag im Bezug auf Betreibung Nr 1 des Betreibungsamt Zü- rich Kreis 1 sei aufzuheben bzw gerichtlich zu beseitigen.</w:t>
      </w:r>
    </w:p>
    <w:p>
      <w:r>
        <w:rPr>
          <w:b/>
        </w:rPr>
        <w:t>E. 4</w:t>
      </w:r>
    </w:p>
    <w:p>
      <w:r>
        <w:t>Alles unter Kosten und Entschädigungsfolgen zu Lasten der Beschwer- degegnerin." c) Die vorinstanzlichen Akten wurden beigezogen (Urk. 1-5). Die Gesuch- stellerin hat den ihr auferlegten Gerichtskostenvorschuss von Fr. 500.-- fristgerecht geleistet (Urk. 8 und 9). Da sich die Beschwerde sogleich als offensichtlich unbe- gründet erweist, kann auf weitere Prozesshandlungen verzichtet werden (Art. 322 Abs. 1 ZPO). 2.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eine blosse Darstellung der Sach- und/oder Rechts- lage aus eigener Sicht genügt nicht. Was nicht rechtsgenügend beanstandet wird, braucht vom Obergericht nicht überprüft zu werden – womit insofern der Grundsatz</w:t>
      </w:r>
    </w:p>
    <w:p>
      <w:r>
        <w:t>- 3 - "iura novit curia" (Art. 57 ZPO) eine Einschränkung erfährt – und hat insofern grund- sätzlich Bestand. b) Die Vorinstanz erwog zusammengefasst, die Erteilung der (definitiven) Rechtsöffnung setze einen Leistungsentscheid voraus, welcher den Schuldner zur Zahlung einer bestimmten Geldsumme verurteile. Die Gesuchstellerin stütze sich auf den Zirkulationsbeschluss des Bezirksgerichts Zürich, untere kantonale Auf- sichtsbehörde über Betreibungsämter, vom 17. März 2022, worin das Betreibungs- amt Zürich 7 angewiesen worden sei, die verarrestierten Vermögenswerte im Ar- rest Nr. 2 im Umfang von Fr. 32'400.-- freizugeben. Dieser Entscheid enthalte keine Verpflichtung zu einer Leistung, sondern eine Anweisung zur Freigabe verarrestier- ter Vermögenswerte. Folglich könne gestützt darauf keine Rechtsöffnung erteilt werden. Weitere Urkunden, welche zur Rechtsöffnung berechtigen würden, habe die Gesuchstellerin weder angerufen noch eingereicht. Das Rechtsöffnungsgesuch sei demnach abzuweisen (Urk. 7 S. 2). c1) Die Gesuchstellerin wirft der Vorinstanz in ihrer Beschwerde Handeln wider Treu und Glauben, Verletzung des rechtlichen Gehörs, Verletzung des Lega- litätsprinzips sowie des Verhältnismässigkeitsprinzips und Willkür vor. Sie führt hierzu entsprechende rechtstheoretische Zitate auf, jedoch ohne ersichtlichen Be- zug zum angefochtenen Urteil bzw. konkrete Beanstandungen von dessen Erwä- gungen. Hierauf ist nicht weiter einzugehen. c2) Dass der angefochtene Beschluss "auf keine Art und Weise begründet" sei (Urk. 6 S. 5 Ziff. 15), ist wahrheitswidrig (vgl. oben Erwägung 2.b). Von einer eigentlichen Nichtigkeit kann keine Rede sein. c3) Einzige ersichtliche Beanstandung gegen die vorinstanzlichen Erwägun- gen ist das Beschwerdevorbringen der Gesuchstellerin, entgegen den Erwägungen der Vorinstanz sei der Zirkulationsbeschluss vom 17. März 2022 ein Rechtsöff- nungstitel, denn eine gerichtliche Anweisung sei eine Verpflichtung zur Erbringung einer Leistung (Urk. 6 S. 5 Ziff. 18-19). Dem ist der streitgegenständliche Zirkulati- onsbeschluss entgegenzuhalten, mit dem "das Betreibungsamt Zürich 7 angewie- sen [wird], die verarrestierten Vermögenswerte im Arrest Nr. 2 im Umfang von</w:t>
      </w:r>
    </w:p>
    <w:p>
      <w:r>
        <w:t>- 4 - Fr. 32'400.– [...] umgehend freizugeben" Urk. 3/2 Dispositiv-Ziffer 1). Dies ist (ei- gentlich unmissverständlich) keine Verpflichtung des Betreibungsamts zu einer (aus dem Vermögen des Betreibungsamts bzw. der Staatskasse zu erbringenden) Zahlung von Fr. 32'400.-- an die Gesuchstellerin, sondern eine Anweisung, der Ge- suchstellerin bereits gehörende (sich offenbar auf einem Konto der Gesuchstellerin bei einer schweizerischen Bank befindlichen; vgl. Urk. 3/2 S. 6), jedoch mit Be- schlag belegte Vermögenswerte in diesem Umfang freizugeben. Die Vorinstanz hat dies zu Recht nicht als Leistungsentscheid angesehen; hierbei liegt keine unrichtige Rechtsanwendung vor. d) Nach dem Gesagten erweist sich die Beschwerde als offensichtlich un- begründet. Sie ist demgemäss abzuweisen. 3. a) Für das Beschwerdeverfahren beträgt der Streitwert Fr. 32'400.--. Die zweitinstanzliche Entscheidgebühr ist in Anwendung von Art. 48 i.V.m. Art. 61 Abs. 1 GebV SchKG auf Fr. 500.-- festzusetzen. b) Die Gerichtskosten des Beschwerdeverfahrens sind ausgangsgemäss der Gesuchstellerin aufzuerlegen (Art. 106 Abs. 1 ZPO) und mit dem von ihr geleis- teten Kostenvorschuss zu verrechnen (Art. 111 Abs. 1 ZPO). c) Für das Beschwerdeverfahren sind keine Parteientschädigungen zuzu- sprechen, der Gesuchstellerin zufolge ihres Unterliegens, der Gesuchsgegnerin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