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RT240085 vom 8. Juli 2024</w:t>
      </w:r>
    </w:p>
    <w:p>
      <w:r>
        <w:t>ZH Obergericht, 2024-07-08, DE</w:t>
      </w:r>
    </w:p>
    <w:p>
      <w:r>
        <w:rPr>
          <w:b/>
        </w:rPr>
        <w:t xml:space="preserve">Quelle: </w:t>
      </w:r>
      <w:r>
        <w:t>https://mcp.opencaselaw.ch/entscheid/zh_obergericht_RT240085</w:t>
      </w:r>
    </w:p>
    <w:p>
      <w:r>
        <w:t>FR: ZH_OBERGERICHT RT240085 du 8 juillet 2024</w:t>
      </w:r>
    </w:p>
    <w:p>
      <w:r>
        <w:t>IT: ZH_OBERGERICHT RT240085 del 8 luglio 2024</w:t>
      </w:r>
    </w:p>
    <w:p>
      <w:pPr>
        <w:pStyle w:val="Heading2"/>
      </w:pPr>
      <w:r>
        <w:t>Erwägungen</w:t>
      </w:r>
    </w:p>
    <w:p>
      <w:r>
        <w:rPr>
          <w:b/>
        </w:rPr>
        <w:t>E. 15</w:t>
      </w:r>
    </w:p>
    <w:p>
      <w:r>
        <w:t>Oktober 2013, E. 3; BGer 5D_65/2014 vom 9. September 2014, E. 5.4.1; BGer 5A_488/2015 vom 21. August 2015, E. 3.2, je mit Hinweis auf BGE 138 III 374 E. 4.3.1). Was nicht in einer den gesetzlichen Begründungsanforderungen genü- genden Weise beanstandet wird, braucht von der Rechtsmittelinstanz nicht über- prüft zu werden. Das gilt zumindest insoweit, als ein Mangel nicht offensichtlich ist (BGE 147 III 176 E. 4.2.1). 2.2. Diesen Anforderungen genügt die Beschwerdeschrift des Gesuchsgegners weitestgehend nicht. So macht er in dieser – wie bereits vor Vorinstanz (vgl. Urk. 6 S. 2) – geltend, die Gesuchstellerin habe keinen Beweis vorgelegt, wie bspw. die Steuererklärung, der die Betreibung rechtfertigen könne, und selbst bei dessen Vorlage sei klar ersichtlich, dass die Berechnung falsch sei. Zudem sei gemäss § 194 ff. BGB alles nach drei (bis vier) Jahren verjährt (Urk. 10 S. 2 f.). Auf die diesbezüglichen – zutreffenden – vorinstanzlichen Erwägungen, wonach es dem Rechtsöffnungsgericht verwehrt sei, die Richtigkeit der Schlussrechnung sowie der Veranlagungsverfügung zu überprüfen, solche Rügen vielmehr im Rahmen eines Rechtsmittelverfahrens gegen die entsprechenden Verfügungen vorzubringen ge- wesen wären, der Gesuchsteller einen vollstreckbaren Rechtsöffnungstitel und da- mit einen zur Rechtsöffnung ausreichenden Beweis eingereicht habe und die Ver- jährung bezüglich der Steuerforderung aus dem Jahr 2021 zum aktuellen Zeitpunkt offensichtlich nicht habe eintreten können, da Steuerforderungen gemäss dem vor- liegenden anwendbaren Art. 121 Abs. 1 DBG fünf Jahre, nachdem die Veranlagung rechtskräftig geworden sei, verjährten (sogenannte Bezugsverjährung; Urk. 11 E. 2.4), geht der Gesuchsgegner mit keinem Wort ein. Auch genügt es nicht, lediglich allgemeine Rechtsgrundsätze darzulegen oder Gesetzesartikel oder Ausschnitte aus anderen Urteilen wiederzugeben, ohne einen konkreten Bezug zum vorinstanz- lichen Urteil herzustellen (vgl. Urk. 10 S. 2 ff.). Ferner ist auch nicht zu beanstanden, dass die Vorinstanz sein Gesuch um Lö- schung bzw. Nichtbekanntgabe der Betreibung mangels Zuständigkeit nicht behan- delte (Urk. 10 E. 2.5). Was sodann sein erstinstanzliches Gesuch um Gewährung der unentgeltlichen Rechtspflege anbelangt, führte die Vorinstanz – entgegen der Ansicht des Ge-</w:t>
      </w:r>
    </w:p>
    <w:p>
      <w:r>
        <w:t>- 4 - suchsgegners (Urk. 10 S. 7) – zutreffend aus, dass sich seine Vorbringen von vorn- herein als aussichtslos erwiesen. Entsprechend wies sie sein Gesuch zu Recht ab (vgl. Art. 117 ZPO). Nach dem Gesagten erweist sich die Beschwerde des Gesuchsgegners somit als offensichtlich unbegründet. Sie ist demgemäss abzuweisen, soweit auf sie einzu- treten ist. 3. Für das Beschwerdeverfahren beträgt der Streitwert Fr. 119.35. Die zweitin- stanzliche Entscheidgebühr ist in Anwendung von Art. 48 i.V.m. Art. 61 Abs. 1 GebV SchKG auf Fr. 150.– festzusetzen und ausgangsgemäss dem Gesuchsgeg- ner aufzuerlegen (Art. 106 Abs. 1 ZPO). Unklar ist, ob der Gesuchsgegner mit sei- nen Ausführungen zur unentgeltlichen Rechtspflege auch für das Beschwerdever- fahren einen entsprechenden Antrag stellt (vgl. Urk. 10 S. 7). Wie die vorstehenden Erwägungen zeigen, ist die Beschwerde des Gesuchsgegners als aussichtslos an- zusehen, weshalb sein Gesuch um unentgeltliche Rechtspflege ohnehin abzuwei- sen gewesen wäre (vgl. Art. 117 lit. b ZPO). Parteientschädigungen sind für das Beschwerdeverfahren keine zuzusprechen; dem Gesuchsgegner zufolge seines Unterliegens,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