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RT240075 vom 19. Juni 2024</w:t>
      </w:r>
    </w:p>
    <w:p>
      <w:r>
        <w:t>ZH Obergericht, 2024-06-19, DE</w:t>
      </w:r>
    </w:p>
    <w:p>
      <w:r>
        <w:rPr>
          <w:b/>
        </w:rPr>
        <w:t xml:space="preserve">Quelle: </w:t>
      </w:r>
      <w:r>
        <w:t>https://mcp.opencaselaw.ch/entscheid/zh_obergericht_RT240075</w:t>
      </w:r>
    </w:p>
    <w:p>
      <w:r>
        <w:t>FR: ZH_OBERGERICHT RT240075 du 19 juin 2024</w:t>
      </w:r>
    </w:p>
    <w:p>
      <w:r>
        <w:t>IT: ZH_OBERGERICHT RT240075 del 19 giugno 2024</w:t>
      </w:r>
    </w:p>
    <w:p>
      <w:pPr>
        <w:pStyle w:val="Heading2"/>
      </w:pPr>
      <w:r>
        <w:t>Erwägungen</w:t>
      </w:r>
    </w:p>
    <w:p>
      <w:r>
        <w:rPr>
          <w:b/>
        </w:rPr>
        <w:t>E. 1</w:t>
      </w:r>
    </w:p>
    <w:p>
      <w:r>
        <w:t>a) Mit Urteil vom 3. Juni 2024 erteilte das Bezirksgericht Zürich (Vor- instanz) dem Gesuchsteller in der Betreibung Nr. … des Betreibungsamts Zürich 2 (Zahlungsbefehl vom 20. Juli 2023) – gestützt auf einen Vergleich – definitive Rechtsöffnung für Fr. 20'500.-- nebst Zins zu 5% seit 1. Februar 2024 und wies im Mehrumfang das Gesuch ab; die Kostenfolgen wurden zu zwei Dritteln zu Lasten der Gesuchsgegnerin geregelt und Parteientschädigungen wurden nicht zugespro- chen (Urk. 8 = Urk. 11). b) Hiergegen erhob die Gesuchsgegnerin am 10. Juni 2024 fristgerecht Be- schwerde und stellte den Beschwerdeantrag (Urk. 10): "Somit kann keine Rechtsöffnung über CHF 20'500.- erteilt werden, sondern lediglich über CHF 10'500.- nebst Zins zu 5 % seit 1. Februar 2024." c) Die vorinstanzlichen Akten wurden beigezogen (Urk. 1-9). Da sich die Beschwerde sogleich als offensichtlich unbegründet erweist, kann auf weitere Pro- 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w:t>
      </w:r>
    </w:p>
    <w:p>
      <w:r>
        <w:t>- 3 - b) Die Vorinstanz erwog im Wesentlichen, der Gesuchsteller stütze sich auf einen rechtskräftigen, vor dem Friedensrichteramt C._____ geschlossenen Ver- gleich vom 14. November 2023, worin sich die Gesuchsgegnerin zur Zahlung von Fr. 25'000.-- bis 31. Januar 2024 verpflichtet habe. Die Gesuchsgegnerin habe sich nicht vernehmen lassen, womit aufgrund der Akten zu entscheiden sei. Der Ver- gleich stelle einen definitiven Rechtsöffnungstitel dar. Am 31. Januar 2024 seien Fr. 4'500.-- überwiesen worden, womit die Forderung in diesem Umfang getilgt sei. Demgemäss sei definitive Rechtsöffnung für Fr. 20'500.-- nebst Zins gemäss Ver- gleich zu erteilen (Urk. 11 Erwägung 3). c) Die Gesuchsgegnerin macht in ihrer Beschwerde hiergegen im Wesent- lichen einzig geltend, ein Dritter habe am 18. April 2024 Fr. 10'000.-- in ihrem Auf- trag auf das Konto der Einzelunternehmung des Gesuchstellers überwiesen. Es sei daher Rechtsöffnung lediglich für Fr. 10'500.-- nebst Zins zu erteilen (Urk. 10). d) Die Gesuchsgegnerin hatte die Behauptung der Zahlung dieser Summe, d.h. der Tilgung der Forderung in diesem Umfang, im vorinstanzlichen Verfahren nicht erhoben (sie hatte keine Stellungnahme eingereicht; Urk. 11 Erwägung 1). Dieses Vorbringen kann damit als im Beschwerdeverfahren neu erhobene Behaup- tung nicht berücksichtigt werden (Art. 326 Abs. 1 ZPO; vorstehend Erwägung 2.a). Weitere Einwendungen gegen die vorinstanzliche Begründung für die Erteilung der Rechtsöffnung werden in der Beschwerde nicht erhoben. e) Nach dem Gesagten erweist sich die Beschwerde als offensichtlich un- begründet. Sie ist demgemäss abzuweisen.</w:t>
      </w:r>
    </w:p>
    <w:p>
      <w:r>
        <w:rPr>
          <w:b/>
        </w:rPr>
        <w:t>E. 3</w:t>
      </w:r>
    </w:p>
    <w:p>
      <w:r>
        <w:t>a) Für das Beschwerdeverfahren beträgt der Streitwert Fr. 10'000.--. Die zweitinstanzliche Entscheidgebühr ist in Anwendung von Art. 48 i.V.m. Art. 61 Abs. 1 GebV SchKG auf Fr. 300.-- festzusetzen. b) Die Gerichtskosten des Beschwerdeverfahrens sind ausgangsgemäss der Gesuchsgegnerin aufzuerlegen (Art. 106 Abs. 1 ZPO).</w:t>
      </w:r>
    </w:p>
    <w:p>
      <w:r>
        <w:t>- 4 - c) Für das Beschwerdeverfahren sind keine Parteientschädigungen zuzu- 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