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RT240059 vom 24. Mai 2024</w:t>
      </w:r>
    </w:p>
    <w:p>
      <w:r>
        <w:t>ZH Obergericht, 2024-05-24, DE</w:t>
      </w:r>
    </w:p>
    <w:p>
      <w:r>
        <w:rPr>
          <w:b/>
        </w:rPr>
        <w:t xml:space="preserve">Quelle: </w:t>
      </w:r>
      <w:r>
        <w:t>https://mcp.opencaselaw.ch/entscheid/zh_obergericht_RT240059</w:t>
      </w:r>
    </w:p>
    <w:p>
      <w:r>
        <w:t>FR: ZH_OBERGERICHT RT240059 du 24 mai 2024</w:t>
      </w:r>
    </w:p>
    <w:p>
      <w:r>
        <w:t>IT: ZH_OBERGERICHT RT240059 del 24 maggio 2024</w:t>
      </w:r>
    </w:p>
    <w:p>
      <w:pPr>
        <w:pStyle w:val="Heading2"/>
      </w:pPr>
      <w:r>
        <w:t>Erwägungen</w:t>
      </w:r>
    </w:p>
    <w:p>
      <w:r>
        <w:rPr>
          <w:b/>
        </w:rPr>
        <w:t>E. 13</w:t>
      </w:r>
    </w:p>
    <w:p>
      <w:r>
        <w:t>Mai 2024 fristgerecht (Urk. 8b) ein Rechtsmittel und beantragte sinngemäss die Aufhebung des vorinstanzlichen Urteils und Abweisung des Rechtsöffnungsge- suchs (Urk. 10). 1.3. Die vorinstanzlichen Akten wurden beigezogen (Urk. 1-9). Da sich die Be- schwerde – wie nachfolgend aufgezeigt wird – als offensichtlich unbegründet er- weist, ist auf weitere Prozesshandlungen zu verzichten (Urk. 322 Abs. 1 ZPO). 2. Der Gesuchsgegner hat sein Rechtsmittel als Rekurs bezeichnet (Urk. 10). Zulässiges Rechtsmittel gegen einen die Rechtsöffnung erteilenden Entscheid ist – wie von der Vorinstanz korrekt belehrt (Urk. 11 Dispositiv-Ziffer 5) – die Be- schwerde (Art. 319 lit. a i.V.m. Art. 309 lit. b Ziff. 3 ZPO). Die Rechtsmittelschrift des Gesuchsgegners ist daher als Beschwerde entgegenzunehmen. 3. 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w:t>
      </w:r>
    </w:p>
    <w:p>
      <w:r>
        <w:t>- 3 - forderung genügt nicht, wer lediglich auf seine vor Vorinstanz vorgetragenen Vor- bringen verweist, solche bloss wiederholt, lediglich die eigene Sachdarstellung vor-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 4.1. Die Vorinstanz erwog, dass sich das Rechtsöffnungsgesuch auf die Verfü- gung "Vorsorglicher Führerausweis-Entzug für die 2. medizinische Gruppe inklu- sive die Bewilligung für den berufsmässigen Personentransport (Code 121)" vom 6. Juli 2023 stütze. In gleicher Sache sei ferner der Rekursentscheid Nr. 2023.0426 vom 31. Juli 2023 eingereicht worden, mit welchem auf den Rekurs des Gesuchs- gegners nicht eingetreten worden sei. Die eingereichte Verfügung sei vollstreckbar und stelle einen definitiven Rechtsöffnungstitel dar. Da der Rekursentscheid vom 31. Juli 2023 keinen reformatorischen Sachentscheid beinhalte, bleibe die Verfü- gung vom 6. Juli 2023 massgebend. Der geforderte Betrag sei darin ausgewiesen. Der Gesuchsgegner mache in seiner Stellungnahme vom 9. April 2024 die inhaltli- che Unrichtigkeit der Verfügung geltend. Insbesondere habe er die Lizenz bereits freiwillig abgegeben, weshalb es keinen kostenpflichtigen fürsorglichen Führeraus- weisentzug geben könne. Diesbezüglich sei – so die Vorinstanz weiter – darauf hinzuweisen, dass es dem Rechtsöffnungsgericht als Vollstreckungsgericht nicht zustehe, die vorgelegte rechtskräftige Verfügung einer inhaltlichen Überprüfung zu unterziehen. Vielmehr hätte der Gesuchsgegner gegen den Rekursentscheid form- und fristgerecht ein Rechtsmittel ergreifen müssen. Weitere Gründe, die der Ertei- lung der Rechtsöffnung entgegenstünden, seien nicht geltend gemacht worden und gingen auch nicht aus den Akten hervor, weshalb die definitive Rechtsöffnung an- tragsgemäss zu erteilen sei (Urk. 11 S. 2 f.). 4.2. Der Gesuchsgegner bringt vor, er könne nur wiederholen, dass man ihm den Ausweis nicht entziehen könne, da er ihn schon freiwillig abgegeben habe. Bei der</w:t>
      </w:r>
    </w:p>
    <w:p>
      <w:r>
        <w:t>- 4 - ersten Rechnung des Strassenverkehrsamtes habe er keine Rekursmöglichkeit ge- habt. Er wolle deshalb, dass die Rechnung storniert werde (Urk. 10). 4.3. Der Gesuchsgegner setzt sich mit seinen Vorbringen nicht mit den vorinstanz- lichen Erwägungen auseinander. Stattdessen wiederholt er lediglich das bereits vor Vorinstanz Vorgebrachte. Dies genügt – wie gezeigt wurde (siehe Erwägung 2.2.) – den Begründungsanforderungen nicht. Hierauf ist somit nicht weiter einzugehen. Soweit der Gesuchsgegner zudem auf eine erste Rechnung Bezug nimmt, er- schliesst sich nicht, welche er damit meint. Sollte er sich auf die Verfügung des Strassenverkehrsamtes vom 6. Juli 2023 (Urk. 3/1) beziehen, trifft seine Behaup- tung, er habe keine Rekursmöglichkeit gehabt, offensichtlich nicht zu. So wurde auf seinen Rekurs vom 25. Juli 2023 mit Rekursentscheid vom 31. Juli 2023 nicht ein- getreten (Urk. 3/2). Im Übrigen ist darauf hinzuweisen, dass es dem Rechtsöff- nungsgericht – wie bereits die Vorinstanz zutreffend erwog – verwehrt ist, den Rechtsöffnungstitel materiell (inhaltlich) zu überprüfen. Nach dem Gesagten erweist sich die Beschwerde als offensichtlich unbegrün- det, weshalb sie abzuweisen ist, soweit auf sie einzutreten ist. 5.1. Für das Beschwerdeverfahren beträgt der Streitwert Fr. 50.–. Die zweitinstanzliche Entscheidgebühr ist in Anwendung von Art. 48 i.V.m. Art. 61 Abs. 1 GebV SchKG auf Fr. 150.– festzusetzen. Die Gerichtskosten des Beschwer- deverfahrens sind ausgangsgemäss dem Gesuchsgegner aufzuerlegen (Art. 106 Abs. 1 ZPO). 5.2. Für das Beschwerdeverfahren sind keine Parteientschädigungen zuzuspre- chen, dem Gesuchsgegner zufolge seines Unterliegens, dem Gesuchsteller man- 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