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RT240046 vom 8. Mai 2024</w:t>
      </w:r>
    </w:p>
    <w:p>
      <w:r>
        <w:t>ZH Obergericht, 2024-05-08, DE</w:t>
      </w:r>
    </w:p>
    <w:p>
      <w:r>
        <w:rPr>
          <w:b/>
        </w:rPr>
        <w:t xml:space="preserve">Quelle: </w:t>
      </w:r>
      <w:r>
        <w:t>https://mcp.opencaselaw.ch/entscheid/zh_obergericht_RT240046</w:t>
      </w:r>
    </w:p>
    <w:p>
      <w:r>
        <w:t>FR: ZH_OBERGERICHT RT240046 du 8 mai 2024</w:t>
      </w:r>
    </w:p>
    <w:p>
      <w:r>
        <w:t>IT: ZH_OBERGERICHT RT240046 del 8 maggio 2024</w:t>
      </w:r>
    </w:p>
    <w:p>
      <w:pPr>
        <w:pStyle w:val="Heading2"/>
      </w:pPr>
      <w:r>
        <w:t>Erwägungen</w:t>
      </w:r>
    </w:p>
    <w:p>
      <w:r>
        <w:rPr>
          <w:b/>
        </w:rPr>
        <w:t>E. 2</w:t>
      </w:r>
    </w:p>
    <w:p>
      <w:r>
        <w:t>Die Vorinstanz erwog, die Gesuchsteller stützten ihr Rechtsöffnungsbe- gehren auf die Schlussrechnung betreffend Staats- und Gemeindesteuern 2021 vom 30. Juni 2023, worin die Gesuchsgegnerin verpflichtet worden sei, Staats- und Gemeindesteuern für die Steuerperiode 2021 in der Höhe von Fr. 15'030.20 zuzüg- lich Zinsen von Fr. 65.35 zu bezahlen. Die Steuerrechnung stütze sich auf den Ein- schätzungsentscheid vom 23. Juni 2023. Gegen diese Entscheide sei kein Rechts- mittel ergriffen worden. Damit seien die Steuerrechnung sowie auch der Einschät- zungsentscheid – beides Verfügungen von Verwaltungsbehörden im Sinne von Art. 80 Abs. 2 Ziff. 2 SchKG – in Rechtskraft erwachsen und vollstreckbar. Der Ein- schätzungsentscheid stelle sodann die Zustellung der Schlussrechnung in Aus- sicht. Die Kette der Verwaltungsentscheide sei folglich lückenlos ausgewiesen. Die Gesuchsteller verfügten somit über einen gültigen definitiven Rechtsöffnungstitel im Sinne von Art. 80 Abs. 2 Ziff. 2 SchKG über den in Betreibung gesetzten Betrag in der Höhe von Fr. 15'030.20, weshalb definitive Rechtsöffnung zu erteilen sei (Urk. 17 S. 3).</w:t>
      </w:r>
    </w:p>
    <w:p>
      <w:r>
        <w:rPr>
          <w:b/>
        </w:rPr>
        <w:t>E. 3</w:t>
      </w:r>
    </w:p>
    <w:p>
      <w:r>
        <w:t>Mit der Beschwerde können unrichtige Rechtsanwendung und offen- sichtlich unrichtige Feststellung des Sachverhalts geltend gemacht werden</w:t>
      </w:r>
    </w:p>
    <w:p>
      <w:r>
        <w:t>- 3 -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(Art. 321 Abs. 1 ZPO; BGer 5D_146/2017 vom 17. No- vember 2017, E. 3.3.2; BGer 5A_387/2016 vom 7. September 2016, E. 3.1). Ge- mäss Art. 326 Abs. 1 ZPO sind im Beschwerdeverfahren neue Anträge, neue Tat- sachenbehauptungen und neue Beweismittel ausgeschlossen.</w:t>
      </w:r>
    </w:p>
    <w:p>
      <w:r>
        <w:rPr>
          <w:b/>
        </w:rPr>
        <w:t>E. 4</w:t>
      </w:r>
    </w:p>
    <w:p>
      <w:r>
        <w:t>Diesen formellen Anforderungen genügt die Beschwerdeschrift nicht. Die Gesuchsgegnerin führt darin lediglich aus, die Forderung sei eine Folgeforde- rung einer willkürlichen und unrealistischen Steuereinschätzung, welche in dieser Höhe nicht gerechtfertigt sei. Das geschätzte Einkommen und Vermögen sei nicht vertretbar, reine Willkür und existenzschädigend. Die Höhe dieser Forderung ent- spreche nicht ihren Vermögensverhältnissen, da der Staat ihre flüssigen Mittel be- reits eingezogen habe (Urk. 16). Mit den Erwägungen der Vorinstanz setzt sie sich jedoch nicht ansatzweise auseinander. Insbesondere zeigt sie nicht auf, dass die Vorinstanz zu Unrecht vom Vorliegen eines definitiven Rechtsöffnungstitels ausge- gangen ist oder das Vorliegen von Einwendungen gemäss Art. 81 Abs. 1 SchKG fälschlicherweise verneint hat. Wenn die Gesuchsgegnerin mit der Höhe der Steu- erforderung nicht einverstanden war bzw. ist, so hätte sie innert der Frist von 30 Ta- gen ab Zustellung des Einschätzungsentscheids bzw. der Schlussrechnung Ein- sprache erheben müssen (Urk. 3/7). Dies hat sie unterlassen (Urk. 3/4; Urk. 3/8) und kann im Rechtsöffnungsverfahren nicht mehr nachgeholt werden. Nach dem Gesagten kommt die Gesuchsgegnerin ihren Begründungs- und Rügeobliegenhei- ten (siehe E. 3) nicht nach, weshalb auf die Beschwerde nicht einzutreten ist.</w:t>
      </w:r>
    </w:p>
    <w:p>
      <w:r>
        <w:rPr>
          <w:b/>
        </w:rPr>
        <w:t>E. 5</w:t>
      </w:r>
    </w:p>
    <w:p>
      <w:r>
        <w:t>Für das Beschwerdeverfahren beträgt der Streitwert Fr. 15'030.20. Die zweitinstanzliche Entscheidgebühr ist in Anwendung von Art. 48 i.V.m. Art. 61 Abs. 1 GebV SchKG auf Fr. 500.– festzusetzen und ausgangsgemäss der Ge- suchsgegnerin aufzuerlegen (Art. 106 Abs. 1 ZPO). Parteientschädigungen sind</w:t>
      </w:r>
    </w:p>
    <w:p>
      <w:r>
        <w:t>- 4 - keine zuzusprechen, da die Gesuchsgegnerin unterliegt und den Gesuchstellern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