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RT240044 vom 2. Mai 2024</w:t>
      </w:r>
    </w:p>
    <w:p>
      <w:r>
        <w:t>ZH Obergericht, 2024-05-02, DE</w:t>
      </w:r>
    </w:p>
    <w:p>
      <w:r>
        <w:rPr>
          <w:b/>
        </w:rPr>
        <w:t xml:space="preserve">Quelle: </w:t>
      </w:r>
      <w:r>
        <w:t>https://mcp.opencaselaw.ch/entscheid/zh_obergericht_RT240044</w:t>
      </w:r>
    </w:p>
    <w:p>
      <w:r>
        <w:t>FR: ZH_OBERGERICHT RT240044 du 2 mai 2024</w:t>
      </w:r>
    </w:p>
    <w:p>
      <w:r>
        <w:t>IT: ZH_OBERGERICHT RT240044 del 2 maggio 2024</w:t>
      </w:r>
    </w:p>
    <w:p>
      <w:pPr>
        <w:pStyle w:val="Heading2"/>
      </w:pPr>
      <w:r>
        <w:t>Erwägungen</w:t>
      </w:r>
    </w:p>
    <w:p>
      <w:r>
        <w:rPr>
          <w:b/>
        </w:rPr>
        <w:t>E. 1</w:t>
      </w:r>
    </w:p>
    <w:p>
      <w:r>
        <w:t>a) Mit Urteil vom 26. Januar 2024 erteilte das Bezirksgericht Meilen (Vorinstanz) dem Gesuchsteller in der Betreibung Nr. 1 des Betreibungsamts Mei- len-Herrliberg-Erlenbach (Zahlungsbefehl vom 3. Januar 2023) – gestützt auf eine Bussenverfügung – definitive Rechtsöffnung für Fr. 10'000.-- nebst 4% Zins seit 28. Dezember 2022, Fr. 126.65 aufgelaufener Zins und für die Betreibungskosten sowie für die Entschädigung gemäss diesem Entscheid (Urk. 13 = Urk. 16). b) Hiergegen erhob die Gesuchsgegnerin am 9. April 2024 fristgerecht (Urk. 14/2) Beschwerde mit dem sinngemässen Beschwerdeantrag (Urk. 15): Das angefochtene Urteil sei aufzuheben und das Rechtsöffnungsgesuch sei abzuweisen. c) Die vorinstanzlichen Akten wurden beigezogen (Urk. 1-14). Da sich die Beschwerde sogleich als offensichtlich unbegründet erweist, kann auf weitere Pro- zesshandlungen verzichtet werden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pauschale Verweisungen auf bei der Vorinstanz ein- gereichte Rechtsschriften oder eine blosse Darstellung der Sach- und/oder Rechts- lage aus eigener Sicht genügen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(rechtzeitig) vorgetragen wurde, kann im Be-</w:t>
      </w:r>
    </w:p>
    <w:p>
      <w:r>
        <w:t>- 3 - schwerdeverfahren grundsätzlich nicht mehr geltend gemacht bzw. nachgeholt werden. b) Die Vorinstanz erwog im Wesentlichen, der Gesuchsteller stütze sich auf eine Bussenverfügung vom 4. August 2022, mit welcher die Gesuchsgegnerin be- treffend die direkte Bundessteuer 2020 mit einer Ordnungsbusse von Fr. 10'000.-- belegt worden sei. Gegen diese Bussenverfügung sei gemäss Rechtskraftbeschei- nigung kein Rechtsmittel erhoben worden. Sie sei somit vollstreckbar und stelle damit einen definitiven Rechtsöffnungstitel dar. Die Gesuchsgegnerin habe innert der ihr angesetzten Frist keine Einwendungen vorgebracht. Daher sei antragsge- mäss definitive Rechtsöffnung zu erteilen (Urk. 16 S. 2-3). c) Die Gesuchsgegnerin macht in ihrer Beschwerde geltend, die (betrie- bene) Forderung sei eine Folgeforderung einer willkürlichen und unrealistischen Steuereinschätzung, welche in dieser Höhe nicht gerechtfertigt sei und gewesen sei. Das eingeschätzte Einkommen und Vermögen sei nicht vertretbar und wirklich reine Willkür sowie existenzschädigend. Die Höhe dieser Forderung entspreche nicht ihren Vermögensverhältnissen (Urk. 15). d) Die Beschwerdevorbringen der Gesuchsgegnerin richten sich gegen die Forderung als solche. Das vorliegende Verfahren auf definitive Rechtsöffnung ist jedoch ein reines Vollstreckungsverfahren; es geht hier nur noch um die Vollstre- ckung einer Forderung, über welche bereits rechtskräftig entschieden wurde. Die Bussenverfügung vom 4. August 2022 (Urk. 3/3) darf daher im Rechtsöffnungsver- fahren nicht mehr inhaltlich überprüft werden. Einwendungen gegen die Vollstreck- barkeit dieser Bussenverfügung hat die Gesuchsgegnerin weder im vorinstanzli- chen noch im Beschwerdeverfahren erhoben. e) Nach dem Gesagten erweist sich die Beschwerde als offensichtlich un- begründet. Sie ist demgemäss abzuweisen.</w:t>
      </w:r>
    </w:p>
    <w:p>
      <w:r>
        <w:rPr>
          <w:b/>
        </w:rPr>
        <w:t>E. 3</w:t>
      </w:r>
    </w:p>
    <w:p>
      <w:r>
        <w:t>a) Für das Beschwerdeverfahren beträgt der Streitwert Fr. 10'000.--. Die zweitinstanzliche Entscheidgebühr ist in Anwendung von Art. 48 i.V.m. Art. 61 Abs. 1 GebV SchKG auf Fr. 300.-- festzusetzen.</w:t>
      </w:r>
    </w:p>
    <w:p>
      <w:r>
        <w:t>- 4 - b) Die Gerichtskosten des Beschwerdeverfahrens sind ausgangsgemäss der Gesuchsgegnerin aufzuerlegen (Art. 106 Abs. 1 ZPO). c) Für das Beschwerdeverfahren sind keine Parteientschädigungen zuzu- sprechen, der Gesuchsgegnerin zufolge ihres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