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RT240043 vom 10. April 2024</w:t>
      </w:r>
    </w:p>
    <w:p>
      <w:r>
        <w:t>ZH Obergericht, 2024-04-10, DE</w:t>
      </w:r>
    </w:p>
    <w:p>
      <w:r>
        <w:rPr>
          <w:b/>
        </w:rPr>
        <w:t xml:space="preserve">Quelle: </w:t>
      </w:r>
      <w:r>
        <w:t>https://mcp.opencaselaw.ch/entscheid/zh_obergericht_RT240043</w:t>
      </w:r>
    </w:p>
    <w:p>
      <w:r>
        <w:t>FR: ZH_OBERGERICHT RT240043 du 10 avril 2024</w:t>
      </w:r>
    </w:p>
    <w:p>
      <w:r>
        <w:t>IT: ZH_OBERGERICHT RT240043 del 10 aprile 2024</w:t>
      </w:r>
    </w:p>
    <w:p>
      <w:pPr>
        <w:pStyle w:val="Heading2"/>
      </w:pPr>
      <w:r>
        <w:t>Erwägungen</w:t>
      </w:r>
    </w:p>
    <w:p>
      <w:r>
        <w:rPr>
          <w:b/>
        </w:rPr>
        <w:t>E. 1</w:t>
      </w:r>
    </w:p>
    <w:p>
      <w:r>
        <w:t>Sachverhalt und Prozessgeschichte</w:t>
      </w:r>
    </w:p>
    <w:p>
      <w:r>
        <w:rPr>
          <w:b/>
        </w:rPr>
        <w:t>E. 1.1</w:t>
      </w:r>
    </w:p>
    <w:p>
      <w:r>
        <w:t>Mit Zahlungsbefehl vom 13. November 2023 des Betreibungsamtes Zürich 11 (Betreibung Nr. …) betrieben der Gesuchsteller und Beschwerdeführer (fortan Ge- suchsteller) sowie die Gemeinde B._____ die Gesuchsgegnerin und Beschwerde- gegnerin (fortan Gesuchsgegnerin) u.a. für Fr. 500.– nebst Zins zu 5 % seit 11. No- vember 2023 sowie für Fr. 27.75 aufgelaufener Zins bis 10. November 2023. Damit verlangen sie von dieser die Bezahlung der Kantons- und Gemeindesteuern für das Steuerjahr 2021 gemäss Veranlagungsverfügung und Schlussrechnung vom 31. August 2022 (Urk. 2; Urk. 3/1a–b ). Gegen den Zahlungsbefehl erhob die Gesuchs- gegnerin am 16. Dezember 2023 Rechtsvorschlag (Urk. 2 S. 2).</w:t>
      </w:r>
    </w:p>
    <w:p>
      <w:r>
        <w:rPr>
          <w:b/>
        </w:rPr>
        <w:t>E. 1.2</w:t>
      </w:r>
    </w:p>
    <w:p>
      <w:r>
        <w:t>In der Folge ersuchte der Gesuchsteller die Vorinstanz mit Eingabe vom 15. Januar 2024 um Erteilung der definitiven Rechtsöffnung für die obengenannten Beträge (Urk. 1). Mit Verfügung vom 27. Februar 2024 trat die Vorinstanz auf das Rechtsöffnungsgesuch nicht ein und auferlegte die Entscheidgebühr von Fr. 50.– dem Gesuchsteller (Urk. 6 S. 3 = Urk. 9 S. 3).</w:t>
      </w:r>
    </w:p>
    <w:p>
      <w:r>
        <w:rPr>
          <w:b/>
        </w:rPr>
        <w:t>E. 1.3</w:t>
      </w:r>
    </w:p>
    <w:p>
      <w:r>
        <w:t>Dagegen erhob der Gesuchsteller mit Eingabe vom 26. März 2024 rechtzeitig (vgl. Art. 321 Abs. 2 ZPO und Urk. 7) Beschwerde mit folgenden Anträgen (Urk. 8): "1. Unter Aufhebung der angefochten Verfügung des Bezirksgerichts Zürich vom 27. Februar 2024 sei in der Betreibung Nr. … des Be- treibungsamts Zürich 11, 8050 Zürich, für den Betrag von CHF 500.00 nebst 5% Zins seit 11.11.2023 zuzüglich der bis zum 10.11.2023 aufgelaufene Verzugszins von CHF 27.75, definitive Rechtsöffnung zu erteilen.</w:t>
      </w:r>
    </w:p>
    <w:p>
      <w:r>
        <w:rPr>
          <w:b/>
        </w:rPr>
        <w:t>E. 1.4</w:t>
      </w:r>
    </w:p>
    <w:p>
      <w:r>
        <w:t>Die vorinstanzlichen Akten wurden beigezogen (Urk. 1–7). Da sich die Be- schwerde – wie nachfolgend aufgezeigt wird – sogleich als offensichtlich unbegrün- det erweist, kann auf weitere Prozesshandlungen verzichtet werden (Art. 322 Abs. 1 ZPO).</w:t>
      </w:r>
    </w:p>
    <w:p>
      <w:r>
        <w:t>- 3 -</w:t>
      </w:r>
    </w:p>
    <w:p>
      <w:r>
        <w:rPr>
          <w:b/>
        </w:rPr>
        <w:t>E. 2</w:t>
      </w:r>
    </w:p>
    <w:p>
      <w:r>
        <w:t>Prozessuale Vorbemerkungen</w:t>
      </w:r>
    </w:p>
    <w:p>
      <w:r>
        <w:rPr>
          <w:b/>
        </w:rPr>
        <w:t>E. 2.1</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In Analogie zu Art. 99 Abs. 1 BGG vorbe- halten sind immerhin (unechte) Noven, die vorzubringen erst der Entscheid der Vorinstanz Anlass gibt (BGE 139 III 466 E. 3.4; BGer 4A_51/2015 vom 20. April 2015, E. 4.5.1), was in der Beschwerde darzulegen ist (vgl. statt vieler BGE 133 III 393 E. 3; BGer 5A_539/2011 vom 19. Dezember 2011, E. 1.2 [je zu Art. 99 Abs. 1 BGG]; zum Ganzen ferner ZK ZPO-Freiburghaus/Afheldt, Art. 326 N 4 f.; Steinin- ger, DIKE-Komm-ZPO, Art. 326 N 1 ff.).</w:t>
      </w:r>
    </w:p>
    <w:p>
      <w:r>
        <w:rPr>
          <w:b/>
        </w:rPr>
        <w:t>E. 3</w:t>
      </w:r>
    </w:p>
    <w:p>
      <w:r>
        <w:t>Materielle Beurteilung</w:t>
      </w:r>
    </w:p>
    <w:p>
      <w:r>
        <w:rPr>
          <w:b/>
        </w:rPr>
        <w:t>E. 3.1</w:t>
      </w:r>
    </w:p>
    <w:p>
      <w:r>
        <w:t>Die Vorinstanz erwog, auf ein Gesuch sei gemäss Art. 59 Abs. 1 und Abs. 2 lit. a ZPO nur einzutreten, soweit ein schutzwürdiges Interesse an seiner Beurtei- lung bestehe. Hierbei handle es sich um eine Prozessvoraussetzung, deren Vor- handensein von Amtes wegen zu prüfen sei (Art. 60 ZPO). Setzten mehrere Gläu- biger eine Forderung in Betreibung, verlange aber nur ein Teil davon die Rechts-</w:t>
      </w:r>
    </w:p>
    <w:p>
      <w:r>
        <w:t>- 4 - öffnung, so könnten diese die Betreibung selbst bei einem gutheissenden Urteil nicht fortsetzen, weshalb kein schutzwürdiges Interesse an der Beurteilung eines solchen Rechtsöffnungsgesuchs bestehe. Die Betreibung könne auch nur von ei- nem Teil der Gläubiger vorangetrieben werden, während der Rest darauf verzichte. In einem solchen Fall hätten die rechtsöffnungsersuchenden Gläubiger jedoch den Nachweis zu erbringen, dass die übrigen Gläubiger unwiderruflich aus der Betrei- bung ausgeschieden seien (Urk. 9 E. 2.1 f.). Der Gesuchsteller verlange Rechtsöff- nung in der Betreibung Nr. … (Betreibungsamt Zürich 11, Zahlungsbefehl vom 13. November 2023). Gemäss eingereichtem Zahlungsbefehl nehme nebst ihm eine weitere Gläubigerin, die Gemeinde B._____, an der genannten Betreibung teil. Ein Nachweis, dass diese weitere Gläubigerin aus der Betreibung unwiderruflich ausgeschieden sei, fehle. Der Gesuchsteller verfüge damit über kein schutzwürdi- ges Interesse an der Beurteilung seines Anliegens, weshalb auf das Gesuch nicht einzutreten sei (Urk. 9 E. 2.3).</w:t>
      </w:r>
    </w:p>
    <w:p>
      <w:r>
        <w:rPr>
          <w:b/>
        </w:rPr>
        <w:t>E. 3.2</w:t>
      </w:r>
    </w:p>
    <w:p>
      <w:r>
        <w:t>Der Gesuchsteller rügt, im Gesuch vom 15. Januar 2024 an die Vorinstanz sei er als Gesuchsteller genannt worden. In der Begründung sei mit Verweis auf Art. 243 des Steuergesetzes des Kantons Obwalden (StG; GDB 641.4) ausgeführt worden, dass die kantonale Finanzverwaltung die Steuern für den Kanton und für sämtliche Gemeinden des Kantons Obwalden, in casu für die Gemeinde B._____, erhebe. Veranlagungs- und Bezugsbehörde sei demnach ausschliesslich der Kan- ton Obwalden, sowohl für die Kantons- als auch für die Gemeindesteuern. Entspre- chend sei der Kanton alleiniger Gläubiger für die Kantons- und Gemeindesteuern. Den Gemeinden werde in der Folge vom Kanton der entsprechende Anteil der Steuern abgeliefert (Art. 243 Abs. 2 StG OW). Es handle sich demnach nicht um ein Auftrags- oder Vertretungsverhältnis, sondern um eine ureigene Kompetenz des Kantons, die Steuern des Kantons und der Gemeinden zu veranlagen und zu beziehen. Nach dem Grundsatz iura novit curia habe die Vorinstanz nicht davon ausgehen dürfen, dass mit dem Gesuch vom 15. Januar 2024 nur für einen Teil der Forderung Rechtsöffnung verlangt worden sei bzw. die Gemeinde B._____ auf ei- nen Teil der Forderung verzichtet hätte bzw. die Gemeinde B._____ unwiderruflich aus der Betreibung ausgeschieden wäre. Auch aus der dem Rechtsöffnungsge- such zugrundeliegenden, rechtskräftigen Veranlagungsverfügung vom 31. August</w:t>
      </w:r>
    </w:p>
    <w:p>
      <w:r>
        <w:t>- 5 - 2022 gehe klar hervor, dass der Kanton für die Veranlagung der Kantons- und Ge- meindesteuer zuständig sei. Einzig im Zahlungsbefehl des Betreibungsamts Zürich 11 würden fälschlicherweise der Kanton Obwalden als auch die Gemeinde B._____ als Gläubiger betitelt. Auf die Bezeichnung der Gläubiger durch das Betreibungs- amt Zürich 11 habe der Kanton keinen Einfluss gehabt. Abgesehen davon könne eine juristisch nicht ganz einwandfreie Bezeichnung im Zahlungsbefehl nicht dazu führen, dass das Inkasso einer rechtskräftigen Veranlagungsverfügung nicht wei- tergeführt werden könne (Urk. 8 S. 2).</w:t>
      </w:r>
    </w:p>
    <w:p>
      <w:r>
        <w:rPr>
          <w:b/>
        </w:rPr>
        <w:t>E. 3.3</w:t>
      </w:r>
    </w:p>
    <w:p>
      <w:r>
        <w:t>Beruht die in Betreibung gesetzte Forderung auf einer vollstreckbaren Verfü- gung einer schweizerischen Verwaltungsbehörde, kann der Gläubiger beim Richter die Aufhebung des Rechtsvorschlags durch definitive Rechtsöffnung verlangen (Art. 80 Abs. 1 und Abs. 2 Ziff. 2 SchKG). Die Erteilung der Rechtsöffnung setzt unter anderem die sog. "drei Identitäten" voraus: Identität zwischen der in Betrei- bung gesetzten und der durch den Titel ausgewiesenen Schuld, Identität zwischen dem Betriebenen und dem Schuldner, gegen den sich der Titel richtet, und Identität zwischen dem Betreibenden und dem aus dem Titel berechtigten bzw. auf dem Titel genannten Gläubiger (vgl. BGE 141 I 97 E. 5.2 mit Hinweis auf BGE 139 III 444 E. 4.1.1; BSK SchKG-Staehelin, Art. 80 N 29 ff.; Stücheli, Die Rechtsöffnung, Zürich 2000, S. 169 ff.). Die Identität zwischen Gläubiger und Betreibendem (und Rechtsöffnungsersuchendem) bezieht sich dabei nicht auf die materielle Berechti- gung an der Forderung, sondern einzig auf die Berechtigung des Betreibenden aus dem Rechtsöffnungstitel. Im betreibungs- resp. rechtsöffnungsrechtlichen Sinne aktivlegitimiert ist somit nicht der wirkliche (materiellrechtliche), sondern aussch- liesslich der (formal) durch den Titel ausgewiesene Gläubiger (oder sein urkundlich nachgewiesener Rechtsnachfolger), d.h. diejenige Person, welcher die in Betrei- bung gesetzte Forderung im Rechtsöffnungstitel zugesprochen wurde (ZR 121 [2022] Nr. 39, S. 149).</w:t>
      </w:r>
    </w:p>
    <w:p>
      <w:r>
        <w:rPr>
          <w:b/>
        </w:rPr>
        <w:t>E. 3.4</w:t>
      </w:r>
    </w:p>
    <w:p>
      <w:r>
        <w:t>Die Veranlagungsverfügung sowie die Schlussrechnung vom 31. August 2022, auf welche der Gesuchsteller seine Forderung stützt, wurden von diesem (in dessen Namen) erlassen (Urk. 3/1a–b). In Betreibung gesetzt wurde die Forderung gemäss Zahlungsbefehl vom 13. November 2023 jedoch vom Gesuchsteller sowie</w:t>
      </w:r>
    </w:p>
    <w:p>
      <w:r>
        <w:t>- 6 - der Gemeinde B._____ (Urk. 2 S. 1). Rechtsöffnung verlangte wiederum nur der Gesuchsteller (Urk. 1). Somit fehlt es sowohl an der Identität des durch den Rechts- öffnungstitel ausgewiesenen Gläubigers (Gesuchsteller) und dem Betreibenden (Gesuchsteller und Gemeinde B._____) als auch an der Identität des Betreibenden (Gesuchsteller und Gemeinde B._____) und Rechtsöffnungsersuchenden (Ge- suchsteller). Dass das Betreibungsamt Zürich 11 die Gemeinde B._____ fälschli- cherweise auch als Gläubigerin im Zahlungsbefehl vom 13. November 2023 auf- führte, bringt der Gesuchsteller erstmals im Beschwerdeverfahren vor und damit verspätet (vgl. Art. 326 Abs. 1 ZPO sowie oben E. 2.2). Es wäre an diesem gewe- sen, bereits vor Vorinstanz Ausführungen zu dieser Unstimmigkeit zu machen, zu- mal der Zahlungsbefehl vom Gesuchsteller selbst eingereicht wurde. Entsprechend gab auch nicht erst der Entscheid der Vorinstanz Anlass zum Vorbringen dieses unechten Novums, weshalb es im Beschwerdeverfahren unberücksichtigt zu blei- ben hat. Zudem wäre eine falsche Gläubigerbezeichnung durch das Betreibungs- amt im Zahlungsbefehl ohnehin mit Beschwerde nach Art. 17 SchKG geltend zu machen gewesen. Das Rechtsöffnungsgericht kann keine Berichtigung des Zah- lungsbefehls vornehmen bzw. das Betreibungsamt hierzu anweisen. Damit bleibt es dabei, dass es an den oben aufgeführten Identitäten fehlt. Ist der Betreibende nicht identisch mit dem Kläger (Rechtsöffnungsersuchenden), leidet das Begehren an einem prozessrechtlichen Mangel (Verfahrenslegitimation), weshalb auf das Rechtsöffnungsgesuch nicht einzutreten ist (Stücheli, a.a.O., S. 170 Fn. 20). Der vorinstanzliche Entscheid ist somit nicht zu beanstanden.</w:t>
      </w:r>
    </w:p>
    <w:p>
      <w:r>
        <w:rPr>
          <w:b/>
        </w:rPr>
        <w:t>E. 3.5</w:t>
      </w:r>
    </w:p>
    <w:p>
      <w:r>
        <w:t>Nach dem Gesagten erweist sich die Beschwerde des Gesuchstellers als of- fensichtlich unbegründet, weshalb sie abzuweisen ist.</w:t>
      </w:r>
    </w:p>
    <w:p>
      <w:r>
        <w:rPr>
          <w:b/>
        </w:rPr>
        <w:t>E. 4</w:t>
      </w:r>
    </w:p>
    <w:p>
      <w:r>
        <w:t>Kosten- und Entschädigungsfolgen Die Entscheidgebühr für das Beschwerdeverfahren ist in Anwendung von Art. 48 in Verbindung mit Art. 61 Abs. 1 GebV SchKG und ausgehend von einem Streitwert von Fr. 500.– auf Fr. 150.– festzusetzen. Die Gerichtskosten sind ausgangsgemäss dem Gesuchsteller aufzuerlegen (Art. 106 Abs. 1 ZPO). Parteientschädigungen sind im Beschwerdeverfahren keine zuzusprechen, dem Gesuchsteller infolge sei-</w:t>
      </w:r>
    </w:p>
    <w:p>
      <w:r>
        <w:t>- 7 - nes Unterliegens, der Gesuchsgegnerin mangels relevanter Umtriebe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