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RT240029 vom 14. März 2024</w:t>
      </w:r>
    </w:p>
    <w:p>
      <w:r>
        <w:t>ZH Obergericht, 2024-03-14, DE</w:t>
      </w:r>
    </w:p>
    <w:p>
      <w:r>
        <w:rPr>
          <w:b/>
        </w:rPr>
        <w:t xml:space="preserve">Quelle: </w:t>
      </w:r>
      <w:r>
        <w:t>https://mcp.opencaselaw.ch/entscheid/zh_obergericht_RT240029</w:t>
      </w:r>
    </w:p>
    <w:p>
      <w:r>
        <w:t>FR: ZH_OBERGERICHT RT240029 du 14 mars 2024</w:t>
      </w:r>
    </w:p>
    <w:p>
      <w:r>
        <w:t>IT: ZH_OBERGERICHT RT240029 del 14 marzo 2024</w:t>
      </w:r>
    </w:p>
    <w:p>
      <w:pPr>
        <w:pStyle w:val="Heading2"/>
      </w:pPr>
      <w:r>
        <w:t>Erwägungen</w:t>
      </w:r>
    </w:p>
    <w:p>
      <w:r>
        <w:rPr>
          <w:b/>
        </w:rPr>
        <w:t>E. 2</w:t>
      </w:r>
    </w:p>
    <w:p>
      <w:r>
        <w:t>Der angefochtene Entscheid, mit welchem das schriftliche Verfahren an- geordnet und die Gesuchsgegnerin zur Stellungnahme aufgefordert wurde, stellt eine prozessleitende Verfügung dar, gegen welche nur in den vom Gesetz be- stimmten Fällen oder im Falle eines nicht leicht wiedergutzumachenden Nachteils Beschwerde geführt werden kann (Art. 319 lit. b ZPO), worauf die Vorinstanz in der Rechtsmittelbelehrung ausdrücklich hinwies (Urk. 2 S. 3). Ein vom Gesetz bestimm- ter Fall liegt nicht vor. Die Gesuchsgegnerin wendet sich mit der Beschwerde gegen die betriebene Steuerforderung, die ihrer Auffassung nach im Umfang von Fr. 11'671.60 bereits bezahlt worden sei. Sie habe entgegen der Behauptung der Gesuchsteller gegen die Zahlungsaufforderung Nr. 1 rechtzeitig Rechtsvorschlag erhoben (Urk. 1). Damit tut die Gesuchsgegnerin indes keinen nicht leicht wieder- gutzumachenden Nachteil dar, der ihr durch die Anordnung des schriftlichen Ver- fahrens sowie die Fristansetzung zur Stellungnahme erwachsen könnte respektive sich nicht durch einen für sie günstigen Endentscheid beheben liesse. Überdies stellt sie keinen Beschwerdeantrag; auf dessen Notwendigkeit hat ebenfalls bereits die Vorinstanz hingewiesen (Urk. 2 S. 3). Auf die Beschwerde ist somit nicht einzu- treten.</w:t>
      </w:r>
    </w:p>
    <w:p>
      <w:r>
        <w:t>- 3 -</w:t>
      </w:r>
    </w:p>
    <w:p>
      <w:r>
        <w:rPr>
          <w:b/>
        </w:rPr>
        <w:t>E. 3</w:t>
      </w:r>
    </w:p>
    <w:p>
      <w:r>
        <w:t>Für das Beschwerdeverfahren beträgt der Streitwert Fr. 11'671.60. Die zweitinstanzliche Entscheidgebühr ist in Anwendung von Art. 48 i.V.m. Art. 61 Abs. 1 GebV SchKG auf Fr. 300.– festzusetzen und ausgangsgemäss der Ge- suchsgegnerin aufzuerlegen (Art. 106 Abs. 1 ZPO). Parteientschädigungen sind keine zuzusprechen, da die Gesuchsgegnerin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