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RT230192 vom 11. Januar 2024</w:t>
      </w:r>
    </w:p>
    <w:p>
      <w:r>
        <w:t>ZH Obergericht, 2024-01-11, DE</w:t>
      </w:r>
    </w:p>
    <w:p>
      <w:r>
        <w:rPr>
          <w:b/>
        </w:rPr>
        <w:t xml:space="preserve">Quelle: </w:t>
      </w:r>
      <w:r>
        <w:t>https://mcp.opencaselaw.ch/entscheid/zh_obergericht_RT230192</w:t>
      </w:r>
    </w:p>
    <w:p>
      <w:r>
        <w:t>FR: ZH_OBERGERICHT RT230192 du 11 janvier 2024</w:t>
      </w:r>
    </w:p>
    <w:p>
      <w:r>
        <w:t>IT: ZH_OBERGERICHT RT230192 del 11 gennaio 2024</w:t>
      </w:r>
    </w:p>
    <w:p>
      <w:pPr>
        <w:pStyle w:val="Heading2"/>
      </w:pPr>
      <w:r>
        <w:t>Erwägungen</w:t>
      </w:r>
    </w:p>
    <w:p>
      <w:r>
        <w:rPr>
          <w:b/>
        </w:rPr>
        <w:t>E. 1</w:t>
      </w:r>
    </w:p>
    <w:p>
      <w:r>
        <w:t>a) Mit Urteil vom 29. November 2023 erteilte das Bezirksgericht Bülach (Vorinstanz) dem Gesuchsteller in der Betreibung Nr. … des Betreibungs- amts Rafzerfeld (Zahlungsbefehl vom 1. Februar 2023) – gestützt auf eine Veran- lagungsverfügung für die direkte Bundessteuer 2022 für eine Kapitalleistung – de- finitive Rechtsöffnung für Fr. 112.70 nebst 4% Zins seit 25. Januar 2023 sowie Fr. 1.40 aufgelaufene Zinsen; die Kosten wurden dem Gesuchsgegner auferlegt (Urk. 11 = Urk. 14). b) Hiergegen reichte der Gesuchsgegner am 14. Dezember 2023 fristge- recht eine an den Präsidenten des Obergerichts persönlich sowie an das Steuer- rekusgericht adressierte Beschwerde ein und stellte betreffend die Rechtsöffnung sinngemäss den Beschwerdeantrag (Urk. 13): Das angefochtene Urteil sei aufzuheben und das Rechtsöffnungsgesuch sei abzuweisen. c) Der Obergerichtspräsident hat die (u.a.) an ihn persönlich gerichtete Beschwerde zuständigkeitshalber an die beschliessende Kammer weitergeleitet (Urk. 16). Die vorinstanzlichen Akten wurden beigezogen (Urk. 1-12). Da sich die Beschwerde sodann sogleich als offensichtlich unzulässig erweist, kann auf wei- 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an- hand von konkret dagegen vorgebrachten Beanstandungen. Die Beschwerde muss sich daher mit den entsprechenden Entscheidgründen der Vorinstanz konk- ret und im Einzelnen auseinandersetzen; eine blosse Darstellung der Sach- und/oder Rechtslage aus eigener Sicht genügt nicht. Was nicht rechtsgenügend beanstandet wird, braucht vom Obergericht nicht überprüft zu werden und hat in-</w:t>
      </w:r>
    </w:p>
    <w:p>
      <w:r>
        <w:t>- 3 - sofern grundsätzlich Bestand. Sodann sind im Beschwerdeverfahren neue Anträ- ge, neue Tatsachenbehauptungen und neue Beweismittel ausgeschlossen (Art. 326 Abs. 1 ZPO); was im erstinstanzlichen Verfahren nicht (rechtzeitig) vor- getragen wurde, kann im Beschwerdeverfahren grundsätzlich nicht mehr geltend gemacht bzw. nachgeholt werden. b) Der Gesuchsgegner richtet seine – wie erwähnt (oben Erw. 1.a) an den Obergerichtspräsidenten persönlich und an das Steuerrekursgericht adressierte – Beschwerde sowohl gegen das vorinstanzliche Urteil wie auch gegen den Ein- schätzungsentscheid des Kantonalen Steueramts Zürich betreffend Staats- und Gemeinde- sowie direkte Bundessteuer 2021 (Urk. 13 S. 4) und unterscheidet in der Beschwerdeschrift nicht, was er gegen den einen oder gegen die anderen Entscheide geltend machen will. Dies ist unzulässig. Es ist nicht Aufgabe des Obergerichts, aus der (umfangreichen) Beschwerdeschrift die Vorbringen heraus- zufiltern, welche als gegen das angefochtene Urteil vorgebracht gelten könnten. Demgemäss kann auf die Beschwerde nicht eingetreten werden. c) Aber auch wenn auf die Beschwerde eingetreten werden könnte, wäre ihr kein Erfolg beschieden. Die Vorinstanz hatte dargelegt, dass für die betriebene Forderung ein definitiver Rechtsöffnungstitel in Form der vollstreckbaren Veranla- gungsverfügung des Kantonalen Steueramts Zürich vom 29. August 2022 betref- fend direkte Bundessteuer 2022 für eine Kapitalleistung vorliege und dass die Einwendungen des Gesuchsgegners keinen Bezug zum aktuellen Streitgegen- stand hätten bzw. nicht gemäss Art. 81 Abs. 1 SchKG zulässig seien (Urk. 14 Erw. 3). Der Gesuchsgegner legt in seiner Beschwerdeschrift ausführlich seine Sicht der Dinge dar, dass er keine Steuerschulden habe etc.; er trägt jedoch be- züglich der relevanten vorinstanzlichen Erwägungen keine konkreten Beanstan- dungen vor. Das Rechtsöffnungsgericht darf sodann einen rechtskräftigen Ent- scheid (hier: die Veranlagungsverfügung vom 29. August 2022; Urk. 3/4) inhaltlich nicht überprüfen; eine solche Überprüfung hätte in einem Rechtsmittelverfahren gegen den zu vollstreckenden Entscheid geschehen können, jedoch nicht mehr im Rechtsöffnungsverfahren. Entsprechend durfte die Vorinstanz die Vorbringen</w:t>
      </w:r>
    </w:p>
    <w:p>
      <w:r>
        <w:t>- 4 - des Gesuchsgeg-ners, dass er den fraglichen Betrag gar nicht schulde, nicht be- rücksichtigen. Die Vorinstanz hat hierbei das Recht korrekt angewendet.</w:t>
      </w:r>
    </w:p>
    <w:p>
      <w:r>
        <w:rPr>
          <w:b/>
        </w:rPr>
        <w:t>E. 3</w:t>
      </w:r>
    </w:p>
    <w:p>
      <w:r>
        <w:t>a) Für das Beschwerdeverfahren beträgt der Streitwert Fr. 112.70. Die zweitinstanzliche Entscheidgebühr ist in Anwendung von Art. 48 i.V.m. Art. 61 Abs. 1 GebV SchKG auf Fr. 60.--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