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RT230190 vom 21. Dezember 2023</w:t>
      </w:r>
    </w:p>
    <w:p>
      <w:r>
        <w:t>ZH Obergericht, 2023-12-21, DE</w:t>
      </w:r>
    </w:p>
    <w:p>
      <w:r>
        <w:rPr>
          <w:b/>
        </w:rPr>
        <w:t xml:space="preserve">Quelle: </w:t>
      </w:r>
      <w:r>
        <w:t>https://mcp.opencaselaw.ch/entscheid/zh_obergericht_RT230190</w:t>
      </w:r>
    </w:p>
    <w:p>
      <w:r>
        <w:t>FR: ZH_OBERGERICHT RT230190 du 21 décembre 2023</w:t>
      </w:r>
    </w:p>
    <w:p>
      <w:r>
        <w:t>IT: ZH_OBERGERICHT RT230190 del 21 dicembre 2023</w:t>
      </w:r>
    </w:p>
    <w:p>
      <w:pPr>
        <w:pStyle w:val="Heading2"/>
      </w:pPr>
      <w:r>
        <w:t>Erwägungen</w:t>
      </w:r>
    </w:p>
    <w:p>
      <w:r>
        <w:rPr>
          <w:b/>
        </w:rPr>
        <w:t>E. 12</w:t>
      </w:r>
    </w:p>
    <w:p>
      <w:r>
        <w:t>Dezember 2023 fristgerecht (Art. 321 Abs. 2 ZPO und Urk. 5/5) Beschwerde (Urk. 1). 1.2. Die vorinstanzlichen Akten wurden beigezogen (Urk. 5/1-5). Da sich die Beschwerde sogleich als offensichtlich unzulässig erweist, kann auf weitere Pro- zesshandlungen verzichtet werden (Art. 322 Abs. 1 ZPO). 2. Der angefochtene Entscheid, mit welchem das schriftliche Verfahren angeordnet und die Gesuchsgegnerin zur Stellungnahme aufgefordert wurde, stellt eine prozessleitende Verfügung dar, gegen welche nur in den vom Gesetz bestimmten Fällen oder im Falle eines nicht leicht wiedergutzumachenden Nach- teils Beschwerde geführt werden kann (Art. 319 lit. b ZPO), worauf die Vorinstanz in der Rechtsmittelbelehrung ausdrücklich hinwies (Urk. 2 S. 3). Ein vom Gesetz bestimmter Fall liegt nicht vor. Die Gesuchsgegnerin wendet sich mit der Be- schwerde gegen die betriebene Steuerforderung, die ihrer Auffassung nach auf einer willkürlichen und unrealistischen Steuereinschätzung beruhe und in dieser Höhe nicht gerechtfertigt sei, zumal die liquiden Mittel von den Steuerämtern be- reits eingezogen worden seien (Urk. 1). Damit tut sie indes keinen nicht leicht wiedergutzumachenden Nachteil dar, der ihr durch die Anordnung des schriftli- chen Verfahrens sowie die Fristansetzung zur Stellungnahme erwachsen könnte respektive sich nicht durch einen für sie günstigen Endentscheid beheben liesse. Überdies stellt sie keinen Beschwerdeantrag; auf dessen Notwendigkeit hat eben- falls bereits die Vorinstanz hingewiesen (Urk. 2 S. 3). Auf die Beschwerde ist so- mit nicht einzutreten.</w:t>
      </w:r>
    </w:p>
    <w:p>
      <w:r>
        <w:t>- 3 - 3. Der Streitwert beträgt Fr. 15'030.20 (Urk. 5/1). Die Entscheidgebühr ist auf Fr. 500.– festzusetzen (Art. 48 i.V.m. Art. 61 Abs. 1 GebV SchKG) und aus- gangsgemäss der Gesuchsgegnerin aufzuerlegen (Art. 106 Abs. 1 ZPO). Partei- entschädigungen sind keine zuzusprechen, den Gesuchstellern mangels Umtrie- ben und der Gesuchsgegnerin angesichts ihres Unterliegens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