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RT230189 vom 28. Dezember 2023</w:t>
      </w:r>
    </w:p>
    <w:p>
      <w:r>
        <w:t>ZH Obergericht, 2023-12-28, DE</w:t>
      </w:r>
    </w:p>
    <w:p>
      <w:r>
        <w:rPr>
          <w:b/>
        </w:rPr>
        <w:t xml:space="preserve">Quelle: </w:t>
      </w:r>
      <w:r>
        <w:t>https://mcp.opencaselaw.ch/entscheid/zh_obergericht_RT230189</w:t>
      </w:r>
    </w:p>
    <w:p>
      <w:r>
        <w:t>FR: ZH_OBERGERICHT RT230189 du 28 décembre 2023</w:t>
      </w:r>
    </w:p>
    <w:p>
      <w:r>
        <w:t>IT: ZH_OBERGERICHT RT230189 del 28 dicembre 2023</w:t>
      </w:r>
    </w:p>
    <w:p>
      <w:pPr>
        <w:pStyle w:val="Heading2"/>
      </w:pPr>
      <w:r>
        <w:t>Erwägungen</w:t>
      </w:r>
    </w:p>
    <w:p>
      <w:r>
        <w:rPr>
          <w:b/>
        </w:rPr>
        <w:t>E. 3</w:t>
      </w:r>
    </w:p>
    <w:p>
      <w:r>
        <w:t>Ob die Eingabe des Gesuchsgegners vom 11. Dezember 2023 (Urk. 9) mit Blick auf Art. 239 Abs. 2 ZPO als Begehren um Urteilsbegründung entgegen- zunehmen gewesen wäre (vgl. BSK ZPO-Steck/Brunner, Art. 239 N 25 m.H.), kann offenbleiben, nachdem die zehntägige Frist bereits am 8. Dezember 2023 abgelaufen war (Urk. 8). Das vom Gesuchsgegner erwähnte "termingerechte" Schreiben an das Bundesgericht (Urk. 9) wurde der Beschwerde nicht beigelegt. Für das Beschwerdeverfahren fehlt es daher an einem tauglichen Anfechtungsob- jekt, weshalb auf die Beschwerde nicht einzutreten ist. Ebenso wenig ist auf die Aberkennungsklage einzutreten. Die Aberkennungsklage steht dem Schuldner nur nach Erteilung der provisorischen Rechtsöffnung zu, aber nicht, wenn – wie vorliegend – von einer Behörde oder einem Gericht bereits endgültig über den Anspruch entschieden worden ist (siehe Art. 83 Abs. 1 SchKG).</w:t>
      </w:r>
    </w:p>
    <w:p>
      <w:r>
        <w:rPr>
          <w:b/>
        </w:rPr>
        <w:t>E. 4</w:t>
      </w:r>
    </w:p>
    <w:p>
      <w:r>
        <w:t>Für das Beschwerdeverfahren beträgt der Streitwert Fr. 490.–. Die zweitinstanzliche Entscheidgebühr ist in Anwendung von Art. 48 i.V.m. Art. 61 Abs. 1 GebV SchKG auf Fr. 150.– festzusetzen und ausgangsgemäss dem Ge- suchsgegner aufzuerlegen (Art. 106 Abs. 1 ZPO). Parteientschädigungen sind keine zuzusprechen, da der Gesuchsgegner unterliegt und dem Gesuchsteller keine Aufwendungen entstanden sind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