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RT230185 vom 19. Dezember 2023</w:t>
      </w:r>
    </w:p>
    <w:p>
      <w:r>
        <w:t>ZH Obergericht, 2023-12-19, DE</w:t>
      </w:r>
    </w:p>
    <w:p>
      <w:r>
        <w:rPr>
          <w:b/>
        </w:rPr>
        <w:t xml:space="preserve">Quelle: </w:t>
      </w:r>
      <w:r>
        <w:t>https://mcp.opencaselaw.ch/entscheid/zh_obergericht_RT230185</w:t>
      </w:r>
    </w:p>
    <w:p>
      <w:r>
        <w:t>FR: ZH_OBERGERICHT RT230185 du 19 décembre 2023</w:t>
      </w:r>
    </w:p>
    <w:p>
      <w:r>
        <w:t>IT: ZH_OBERGERICHT RT230185 del 19 dicembre 2023</w:t>
      </w:r>
    </w:p>
    <w:p>
      <w:pPr>
        <w:pStyle w:val="Heading2"/>
      </w:pPr>
      <w:r>
        <w:t>Erwägungen</w:t>
      </w:r>
    </w:p>
    <w:p>
      <w:r>
        <w:rPr>
          <w:b/>
        </w:rPr>
        <w:t>E. 8</w:t>
      </w:r>
    </w:p>
    <w:p>
      <w:r>
        <w:t>E. 3.2). Ferner begründe auch die Kostenrechnung und Verfügung des Betrei- bungsamtes Zürich 4 keine Schuld der Gesuchsgegnerin, sondern verpflichte die Gesuchstellerin lediglich zur Begleichung der Betreibungskosten. Bei den Akten lägen sodann auch keine weiteren Dokumente, die einen Rechtsöffnungstitel dar- stellen könnten. Das Gesuch sei daher auch mangels eines Rechtsöffnungstitels abzuweisen (Urk. 8 E. 3.3). 3.2. Die Gesuchstellerin macht mit ihrer Beschwerde geltend, sie habe für Herrn C._____ von der Gesuchsgegnerin bereits im Jahr 2021 Arbeiten durchgeführt, woraus zwei Rechnungen über Fr. 2'240.– und Fr. 6'650.– entstanden seien, wel- che beide bezahlt worden seien. lm Folgejahr seien ihr weitere Arbeiten erteilt worden, die im Mai 2022 ausgeführt worden seien. Die dazu ausgestellte Rech- nung sei nie beglichen worden. Sie habe mehrmals erfolglos versucht, Herrn C._____ telefonisch und schriftlich zu erreichen. Es sei ihr nur noch der Rechts- weg geblieben, worauf der normale Mahnablauf erfolgt sei, und nachdem dieser nicht gefruchtet habe, sei die Betreibung eingeleitet worden. Bis heute habe sie keine Antwort auf ihre Anliegen von Herrn C._____ erhalten. Die Yacht, um die es gehe, stehe derzeit in ltalien in der D._____ Werft, um weitere Refit-Arbeiten durchzuführen. Auch hier scheine es Zahlungsprobleme zu geben, da alle Arbei- ten gestoppt worden seien, wie ihr auf Nachfrage mitgeteilt worden sei (Urk. 7). 3.3. Sämtliche dieser Ausführungen macht die Gesuchstellerin erstmals im Be- schwerdeverfahren und auch die Unterlagen, auf welche sie verweist (Urk. 10/1– 5), reicht sie – mit Ausnahme der Rechnung Nr. 7242 und der dazugehörigen Mahnungen (Urk. 10/4) – erstmals ein. Aufgrund des umfassenden Novenverbots (vgl. Art. 326 Abs. 1 ZPO und oben E. 2.2) können diese erstmaligen Tatsachen- behauptungen und Beweismittel im Beschwerdeverfahren nicht mehr berücksich- tigt werden. Sodann setzt sich die Gesuchstellerin mit keinem Wort mit den zutref- fenden vorinstanzlichen Erwägungen auseinander, wonach weder die Rechnung Nr. 7242 noch die beiden Mahnungen einen Verpflichtungswillen der Gesuchs- gegnerin enthielten und auch keine Unterschrift von dieser trügen, sodass die Gesuchstellerin über keinen provisorischen Rechtsöffnungstitel im Sinne von Art. 82 SchKG verfüge. Sie genügt den oben (E. 2.1) beschriebenen Begründungsan-</w:t>
      </w:r>
    </w:p>
    <w:p>
      <w:r>
        <w:t>- 5 - forderungen an eine Beschwerde nicht. Die Beschwerde erweist sich damit als of- fensichtlich unbegründet, weshalb sie abzuweisen ist. 4. Die Entscheidgebühr für das Beschwerdeverfahren ist in Anwendung von Art. 48 in Verbindung mit Art. 61 Abs. 1 GebV SchKG und ausgehend von einem Streitwert von Fr. 11'400.– auf Fr. 500.– festzusetzen. Die Gerichtskosten sind ausgangsgemäss der Gesuchstellerin aufzuerlegen (Art. 106 Abs. 1 ZPO). Par- teientschädigungen sind im Beschwerdeverfahren keine zuzusprechen, der Ge- suchstellerin infolge ihres Unterliegens, der Gesuchsgegnerin mangels relevanter Umtriebe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