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RT230176 vom 22. November 2023</w:t>
      </w:r>
    </w:p>
    <w:p>
      <w:r>
        <w:t>ZH Obergericht, 2023-11-22, DE</w:t>
      </w:r>
    </w:p>
    <w:p>
      <w:r>
        <w:rPr>
          <w:b/>
        </w:rPr>
        <w:t xml:space="preserve">Quelle: </w:t>
      </w:r>
      <w:r>
        <w:t>https://mcp.opencaselaw.ch/entscheid/zh_obergericht_RT230176</w:t>
      </w:r>
    </w:p>
    <w:p>
      <w:r>
        <w:t>FR: ZH_OBERGERICHT RT230176 du 22 novembre 2023</w:t>
      </w:r>
    </w:p>
    <w:p>
      <w:r>
        <w:t>IT: ZH_OBERGERICHT RT230176 del 22 novembre 2023</w:t>
      </w:r>
    </w:p>
    <w:p>
      <w:pPr>
        <w:pStyle w:val="Heading2"/>
      </w:pPr>
      <w:r>
        <w:t>Erwägungen</w:t>
      </w:r>
    </w:p>
    <w:p>
      <w:r>
        <w:rPr>
          <w:b/>
        </w:rPr>
        <w:t>E. 2</w:t>
      </w:r>
    </w:p>
    <w:p>
      <w:r>
        <w:t>Die Vorinstanz erwog, damit ein Entscheid einen gültigen definitiven Rechtsöffnungstitel darstelle, müsse dieser eine gerichtlich bzw. behördlich rechtskräftig festgestellte Zahlungspflicht des Betriebenen aufweisen. Das zwei- stufige Veranlagungsverfahren habe zur Folge, dass der Einschätzungsentscheid nur zusammen mit der darauf basierenden Schlussrechnung einen definitiven Rechtsöffnungstitel im Sinne von Art. 80 SchKG bilde. Sofern der Einspracheent- scheid als Sachentscheid ergehe, trete er an die Stelle des im Einspracheverfah- rens überprüften Einschätzungsentscheids. Im vorliegenden Fall hätten die Ge- suchsteller eine mit Rechtskraft bescheinigte Schlussrechnung sowie einen Ein- spracheentscheid eingereicht, wonach auf die Einsprache wegen Verspätung nicht eingetreten werde. Da auf die Einsprache nicht eingetreten und nicht in der Sache entschieden worden sei, liege kein Sachentscheid vor, welcher an die Stel- le des Einschätzungsentscheids trete. Der Einschätzungsentscheid sei trotz Auf- forderung nicht eingereicht worden und die Schlussrechnung stelle für sich allein keinen tauglichen Rechtsöffnungstitel dar. Das Begehren der Gesuchsteller um definitive Rechtsöffnung sei daher mangels eines gültigen Rechtsöffnungstitels abzuweisen (Urk. 11 S. 2 f.).</w:t>
      </w:r>
    </w:p>
    <w:p>
      <w:r>
        <w:t>- 3 -</w:t>
      </w:r>
    </w:p>
    <w:p>
      <w:r>
        <w:rPr>
          <w:b/>
        </w:rPr>
        <w:t>E. 3</w:t>
      </w:r>
    </w:p>
    <w:p>
      <w:r>
        <w:t>Die Gesuchsteller führen aus, die Aufforderung, den Einschätzungs- entscheid einzureichen, sei leider untergegangen. Aufgrund des Versäumnisses reichten sie nun fristgerecht als Beschwerde den Einschätzungsentscheid zu- sammen mit allen Beweismitteln ein, welche nachweisen würden, dass die Be- treibung zu Recht erfolgt sei (Urk. 10).</w:t>
      </w:r>
    </w:p>
    <w:p>
      <w:r>
        <w:rPr>
          <w:b/>
        </w:rPr>
        <w:t>E. 4</w:t>
      </w:r>
    </w:p>
    <w:p>
      <w:r>
        <w:t>Mit der Beschwerde können unrichtige Rechtsanwendung und offen- sichtlich unrichtige Feststellung des Sachverhalts geltend gemacht werden (Art. 320 ZPO). Neue Anträge, neue Tatsachenbehauptungen und neue Beweis- mittel sind nach Art. 326 Abs. 1 ZPO im Beschwerdeverfahren grundsätzlich aus- geschlossen. Das Beschwerdeverfahren dient nicht der Fortführung des erstin- stanzlichen Prozesses, sondern im Wesentlichen der Rechtskontrolle des vorinstanzlichen Entscheids. Was im erstinstanzlichen Verfahren nicht vorgetra- gen wurde, kann deshalb im Beschwerdeverfahren nicht mehr geltend gemacht bzw. nachgeholt werden (Freiburghaus/Afheldt, in: Sutter- Somm/Hasenböhler/Leuenberger, ZPO Komm., Art. 326 N 3 f.).</w:t>
      </w:r>
    </w:p>
    <w:p>
      <w:r>
        <w:rPr>
          <w:b/>
        </w:rPr>
        <w:t>E. 5</w:t>
      </w:r>
    </w:p>
    <w:p>
      <w:r>
        <w:t>Die Vorinstanz hat zu Recht festgehalten, dass – aufgrund des Nicht- eintretens auf die Einsprache – die Schlussrechnung ohne den Einschätzungs- entscheid keinen tauglichen Rechtsöffnungstitel darstellt. Da im Beschwerdever- fahren neue Beweismittel nicht mehr zulässig sind, kann das Versäumnis der Ge- suchsteller im Rechtsmittelverfahren nicht mehr korrigiert werden, und der neu eingereichte Einschätzungsentscheid (Urk. 13/2) hat unbeachtet zu bleiben. Die Beschwerde erweist sich daher als unbegründet und ist abzuweisen. Nur der Vollständigkeit halber sei bemerkt, dass die Steuerfaktoren in der Schlussrech- nung (Urk. 3/2 = Urk. 13/3) und im Einschätzungsentscheid (Urk. 13/2) nicht übereinstimmen.</w:t>
      </w:r>
    </w:p>
    <w:p>
      <w:r>
        <w:rPr>
          <w:b/>
        </w:rPr>
        <w:t>E. 6</w:t>
      </w:r>
    </w:p>
    <w:p>
      <w:r>
        <w:t>Für das Beschwerdeverfahren beträgt der Streitwert Fr. 18'071.85. Die zweitinstanzliche Entscheidgebühr ist in Anwendung von Art. 48 i.V.m. Art. 61 Abs. 1 GebV SchKG auf Fr. 500.– festzusetzen und ausgangsgemäss den Ge- suchstellern aufzuerlegen (Art. 106 Abs. 1 ZPO). Parteientschädigungen sind kei- ne zuzusprechen, da die Gesuchsteller unterliegen und der Gesuchsgegnerin und</w:t>
      </w:r>
    </w:p>
    <w:p>
      <w:r>
        <w:t>- 4 - Beschwerdegegnerin (fortan Gesuchsgegnerin)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