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RT230173 vom 22. November 2023</w:t>
      </w:r>
    </w:p>
    <w:p>
      <w:r>
        <w:t>ZH Obergericht, 2023-11-22, DE</w:t>
      </w:r>
    </w:p>
    <w:p>
      <w:r>
        <w:rPr>
          <w:b/>
        </w:rPr>
        <w:t xml:space="preserve">Quelle: </w:t>
      </w:r>
      <w:r>
        <w:t>https://mcp.opencaselaw.ch/entscheid/zh_obergericht_RT230173</w:t>
      </w:r>
    </w:p>
    <w:p>
      <w:r>
        <w:t>FR: ZH_OBERGERICHT RT230173 du 22 novembre 2023</w:t>
      </w:r>
    </w:p>
    <w:p>
      <w:r>
        <w:t>IT: ZH_OBERGERICHT RT230173 del 22 novembre 2023</w:t>
      </w:r>
    </w:p>
    <w:p>
      <w:pPr>
        <w:pStyle w:val="Heading2"/>
      </w:pPr>
      <w:r>
        <w:t>Erwägungen</w:t>
      </w:r>
    </w:p>
    <w:p>
      <w:r>
        <w:rPr>
          <w:b/>
        </w:rPr>
        <w:t>E. 5</w:t>
      </w:r>
    </w:p>
    <w:p>
      <w:r>
        <w:t>% seit dem 3. Mai 2023, Fr. 40.– Mahnkosten und Fr. 91.60 Kostenrechnung Betreibungsamt Sihltal (Urk. 1; vgl. auch Urk. 4). Mit Urteil vom 30. Oktober 2023 wies die Vorinstanz das Gesuch ab, unter Kostenfolgen zu Lasten der Klägerin (Urk. 7 = Urk. 11). 1.2. Dagegen erhob die Klägerin mit Eingabe vom 6. November 2023 (Datum Poststempel: 7. November 2023) fristgerecht (vgl. Art. 321 Abs. 1 und Abs. 2 ZPO sowie Urk. 8/2) Beschwerde, mit welcher sie sinngemäss die Aufhebung des erst- instanzlichen Entscheids und die Gutheissung ihres Rechtsöffnungsgesuchs be- antragt (Urk. 10). 1.3. Die vorinstanzlichen Akten wurden beigezogen (Urk. 1–9). Da sich die Be- schwerde – wie nachfolgend aufgezeigt wird – sogleich als offensichtlich unbe- gründet erweist, kann auf weitere Prozesshandlungen verzichtet werden (Art. 322 Abs. 1 ZPO). 2.1.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w:t>
      </w:r>
    </w:p>
    <w:p>
      <w:r>
        <w:t>- 3 - 2.2. Sodann sind neue Anträge, neue Tatsachenbehauptungen und neue Be- weismittel (Noven) im Beschwerdeverfahren ausgeschlossen (Art. 326 Abs. 1 ZPO). Was im erstinstanzlichen Verfahren nicht behauptet, bestritten oder einge- 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und BGer 4A_51/2015 vom 20. April 2015, E. 4.5.1; zum Ganzen ferner ZK ZPO-Freiburghaus/Afheldt, Art. 326 N 4 f.; Steininger, DIKE-Komm-ZPO, Art. 326 N 1 ff.). 3.1. Die Vorinstanz erwog, die Klägerin stütze ihre Forderung auf das Angebot vom 24. März 2023 (Urk. 2/1), für einen Auftrag über Beratung, Planung und In- stallation einer Brandschutzanlage für den … [Gebäude] C._____ in Höhe von Fr. 9'996.70. Das Angebot sei vom Beklagten unterzeichnet worden. Des Weite- ren habe die Klägerin eine Rechnung vom 3. April 2023 (Urk. 2/2) ins Recht ge- legt, mit welcher sie vom Beklagten insgesamt Fr. 3'326.65 für Vorarbeiten hin- sichtlich des Brandschutzprojekts verlangt habe. Erwähnte Rechnung sei vom Beklagten nicht bezahlt worden, woraufhin die Klägerin dem Beklagten zunächst eine Zahlungserinnerung, danach zwei Mahnungen habe zukommen lassen (Urk. 2/3–5). Die Klägerin habe den ihm in Rechnung gestellten Betrag mitsamt Mahngebühr in Betreibung gesetzt. Wie auch die Klägerin zutreffend vorbringe, sei das Angebot am 24. März 2023 vom Beklagten als Vertragspartei unterzeich- net und damit angenommen worden. Dennoch genüge diese Schuldanerkennung den bundesgerichtlichen Anforderungen an einen provisorischen Rechtsöffnungs- titel nicht, da der mittels Rechnung vom 3. April 2023 geforderte Betrag in Höhe von Fr. 3'326.65 (Urk. 2/2) nicht mittels unterzeichnetem Rahmenvertrag vom 24. März 2023 (Urk. 2/1) hinreichend nachgewiesen werden könne. Die in der Rechnung genannten Arbeiten könnten dem Rahmenvertrag nicht eindeutig ent- nommen werden, weshalb der in Rechnung gestellte Betrag nicht von der unter- zeichneten Willensäusserung gedeckt sei. Zu einem anderen Ergebnis käme man, sofern der Rechnung ein vom Beklagten unterzeichneter Arbeitsrapport bei-</w:t>
      </w:r>
    </w:p>
    <w:p>
      <w:r>
        <w:t>- 4 - liegen würde, welcher eindeutig beweise, dass genannte Arbeiten im behaupteten Zeitaufwand vorgenommen worden seien. Ein solcher sei im vorliegenden Fall nicht gegeben. Zudem liege dem Gericht keine Schuldanerkennung betreffend die geforderten Mahngebühren vor. Es mangle damit an einem hinreichenden Rechtsöffnungstitel i.S.v. Art. 82 SchKG. Somit sei das Rechtsöffnungsbegehren abzuweisen (Urk. 11 E. 4.1 f.). 3.2. Die Klägerin macht mit ihrer Beschwerde geltend, dass der Auftrag am 24. März 2023 erteilt worden sei und aus diesem ersichtlich sei, welche Leistun- gen der Beklagte zu welchen Konditionen bestellt habe. Der erteilte Auftrag sei in verschiedene SIA-Phasen gegliedert. Diese Gliederung entspreche den Vorgaben der VKF-Richtlinie. Die Leistungen seien wie im Angebot/Auftrag unter Position 1.1. beschrieben, mit Arbeitsrapporten, die der Rechnung beigelegt worden seien, belegt. Die Rechnung R230098 vom 3. April 2023 (mit dem Arbeitsrapport) belege die Leistungen der SIA-Phasen 31, 32 und 33 (bis Baubewilligungsverfahren). Diese Leistungen seien mit Fr. 4'056.– veranschlagt worden (Fr. 3'900.– plus 4 % Spesen), exklusive Mehrwertsteuer. Tatsächlich verrechnet worden seien Fr. 3'088.80 (Fr. 2'970.– plus 4 % Spesen). Die verrechneten Leistungen seien al- so tiefer als im Vorfeld kalkuliert. Die Forderungssumme sei für den Beklagten be- reits im Zeitpunkt der Unterzeichnung der Schuldanerkennung klar bestimmt bzw. bestimmbar gewesen sei. Die von den Behörden geforderten Leistungen seien mit den zu erwartenden Stunden abgeschätzt und die Kosten pro Stunde im An- gebot detailliert aufgeführt. Es treffe somit nicht zu, dass die gemäss Vertrag ge- forderten Leistungen nicht nachgewiesen werden könnten (Urk. 10 S. 1 f.). 3.3. Verfügt der Gläubiger über eine unterschriebene oder in öffentlicher Urkun- de festgehaltene Schuldanerkennung, so kann er vom Richter die provisorische Rechtsöffnung verlangen (Art. 82 Abs. 1 SchKG). Eine Schuldanerkennung liegt vor, wenn daraus der vorbehalts- und bedingungslose Wille des Betriebenen her- vorgeht, dem Betreibenden einen bestimmten oder leicht bestimmbaren Betrag zu zahlen. Dabei kann sich die Schuldanerkennung auch aus einer Gesamtheit von Urkunden ergeben, sofern die notwendigen Elemente daraus hervorgehen. Dies bedeutet, dass die unterzeichnete Urkunde auf die Schriftstücke, welche die</w:t>
      </w:r>
    </w:p>
    <w:p>
      <w:r>
        <w:t>- 5 - Schuld betragsmässig ausweisen, klar und unmittelbar Bezug nehmen bezie- hungsweise verweisen muss. Eine Bezugnahme kann jedoch nur dann konkret sein, wenn der Inhalt der verwiesenen Dokumente dem Erklärenden bekannt und von der unterzeichneten Willensäusserung gedeckt ist. Für einen Betrag, der im Zeitpunkt, in dem der Betriebene seine Unterschrift auf das Schriftstück setzte, aus dem seine Schuld hervorgeht, weder bestimmt noch leicht bestimmbar war, kann somit die Rechtsöffnung nicht erteilt werden (BGer 5A_142/2017 vom 18. August 2017, E. 3.1, m.w.H.). 3.4. Die Gesuchstellerin behauptet im Beschwerdeverfahren erstmals, dass die Leistungen, wie sie im Angebot/Auftrag unter Position 1.1. beschrieben seien, mit den der Rechnung angefügten Arbeitsrapporten belegt seien, und dass diese die Leistungen der SIA-Phasen 31, 32 und 33 beträfen, welche mit Fr. 4'056.– veran- schlagt worden seien (Urk. 10). Zudem reicht sie diverse Unterlagen, insbesonde- re E-Mail Korrespondenzen erstmals mit der Beschwerde ein (Urk. 12/3–18). Auf- grund des umfassenden Novenverbots (vgl. Art. 326 Abs. 1 ZPO und oben E. 2.2) können diese erstmaligen Tatsachenbehauptungen und Beweismittel im Be- schwerdeverfahren jedoch nicht mehr berücksichtigt werden. 3.5. Gemäss der vom Beklagten am 24. März 2023 unterzeichneten Offerte wer- den die erbrachten Leistungen nach dem effektiven Aufwand und den belegten Arbeitsrapporten abgerechnet (Urk. 2/1 S. 6 Ziff. 1.1). Zudem wurde festgehalten, dass die offerierten Kosten nach dem heutigen Wissensstand kalkuliert wurden (Urk. 2/1 S. 6 Ziff. 1.2). Entsprechend handelt es sich bei den in der Offerte aufge- führten Kosten lediglich um Schätzungen. Die tatsächlichen Aufwände, welche die Klägerin dem Beklagten am 3. April 2023 in Rechnung stellte, waren im Zeitpunkt der Unterzeichnung der Offerte durch die Beklagte noch nicht bestimmbar. Es handelt sich daher nicht um eine (zusammengesetzte) Schuldanerkennung im Sinne von Art. 82 SchKG. Entsprechend ist der Vorinstanz beizupflichten, dass für die in Betreibung gesetzte Forderung von Fr. 3'326.65 kein provisorischer Rechtsöffnungstitel vorgelegt wurde und das Rechtsöffnungsgesuch aus diesem Grund abzuweisen ist. Dass dem Gericht keine Schuldanerkennung betreffend die geforderten Mahngebühren vorliege (Urk. 11 E. 4.2), wird von der Klägerin mit</w:t>
      </w:r>
    </w:p>
    <w:p>
      <w:r>
        <w:t>- 6 - ihrer Beschwerde nicht gerügt. Entsprechend ist auch dafür keine Rechtsöffnung zu erteilen. 3.6. Nach dem Gesagten erweist sich die Beschwerde der Klägerin als offen- sichtlich unbegründet, weshalb sie abzuweisen ist. 4. Die Entscheidgebühr für das Beschwerdeverfahren ist in Anwendung von Art. 48 i.V.m. Art. 61 Abs. 1 GebV SchKG und ausgehend von einem Streitwert von Fr. 3'326.65 auf Fr. 300.– festzusetzen. Die Gerichtskosten sind ausgangs- gemäss der Klägerin aufzuerlegen (Art. 106 Abs. 1 ZPO). Parteientschädigungen sind im Beschwerdeverfahren keine zuzusprechen, der Klägerin infolge ihres Un- terliegens, dem Beklagten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