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RT230164 vom 14. November 2023</w:t>
      </w:r>
    </w:p>
    <w:p>
      <w:r>
        <w:t>ZH Obergericht, 2023-11-14, DE</w:t>
      </w:r>
    </w:p>
    <w:p>
      <w:r>
        <w:rPr>
          <w:b/>
        </w:rPr>
        <w:t xml:space="preserve">Quelle: </w:t>
      </w:r>
      <w:r>
        <w:t>https://mcp.opencaselaw.ch/entscheid/zh_obergericht_RT230164</w:t>
      </w:r>
    </w:p>
    <w:p>
      <w:r>
        <w:t>FR: ZH_OBERGERICHT RT230164 du 14 novembre 2023</w:t>
      </w:r>
    </w:p>
    <w:p>
      <w:r>
        <w:t>IT: ZH_OBERGERICHT RT230164 del 14 novembre 2023</w:t>
      </w:r>
    </w:p>
    <w:p>
      <w:pPr>
        <w:pStyle w:val="Heading2"/>
      </w:pPr>
      <w:r>
        <w:t>Erwägungen</w:t>
      </w:r>
    </w:p>
    <w:p>
      <w:r>
        <w:rPr>
          <w:b/>
        </w:rPr>
        <w:t>E. 4</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 Gemäss Art. 326 Abs. 1 ZPO sind im Beschwerdeverfahren neue Anträ- ge, neue Tatsachenbehauptungen und neue Beweismittel ausgeschlossen.</w:t>
      </w:r>
    </w:p>
    <w:p>
      <w:r>
        <w:rPr>
          <w:b/>
        </w:rPr>
        <w:t>E. 5</w:t>
      </w:r>
    </w:p>
    <w:p>
      <w:r>
        <w:t>Der Gesuchsgegner präzisiert nicht, inwiefern die Begründung fehler- haft sein soll und dies ist auch nicht ersichtlich. Beim Einwand, dass der Strafbe- fehl aufgrund falscher Adressierung nicht habe zugestellt werden können, handelt es sich um eine wegen des Novenverbots unzulässige neue Behauptung (siehe E. 4). Zudem ist der Einwand offensichtlich unzutreffend, da einerseits ein Zu- stellnachweis vorliegt (Urk. 3/2) und der Gesuchsgegner andererseits im Schrei- ben vom 20. Dezember 2022 die Zustellung selbst bestätigte, indem er Ausfüh- rungen zum Strafbefehl machte (Urk. 3/3). Ferner war die Adresse des Gesuchs-</w:t>
      </w:r>
    </w:p>
    <w:p>
      <w:r>
        <w:t>- 4 - gegners entgegen seinen Ausführungen korrekt, ist es doch dieselbe, welche er in seiner Beschwerdeschrift angibt (Urk. 3/1; Urk. 23). Ob der Name in Gross- oder Kleinbuchstaben geschrieben wird und der Vorname vor dem Nachnamen geführt wird, ist für die Postzustellung unerheblich, solange – wie hier – keine Zweifel an der Identität der Person bestehen. Schliesslich ist der vorinstanzliche Entscheid auch gesetzeskonform unterzeichnet. So bestimmt § 136 GOG ZH, dass Endent- scheide in der Sache im ordentlichen und vereinfachten Verfahren durch ein Mit- glied des Gerichts und die Gerichtsschreiberin oder den Gerichtsschreiber unter- zeichnet werden. Andere Entscheide – also unter anderem Entscheide im sum- marischen Verfahren – werden gemäss § 136 GOG ZH durch ein Mitglied des Gerichts oder eine Gerichtsschreiberin oder einen Gerichtsschreiber unterzeich- net. Dass das vorinstanzliche Urteil durch die Gerichtsschreiberin unterzeichnet wurde, ist daher korrekt. Im Übrigen braucht eine Unterschrift auch nicht lesbar zu sein; es genügt, wenn nachvollzogen werden kann, wer den Entscheid unter- schrieben hat (Hauser/Schweri/Lieber, GOG-Kommentar § 136 N 3). Damit wur- den sämtliche Formvorschriften durch die Vorinstanz gewahrt. Weshalb die Un- terschrift auf dem Strafbefehl nicht rechtsgültig sein soll, legt der Gesuchsgegner nicht dar und ist auch nicht ersichtlich. Die Beschwerde erweist sich daher als un- begründet und ist abzuweisen.</w:t>
      </w:r>
    </w:p>
    <w:p>
      <w:r>
        <w:rPr>
          <w:b/>
        </w:rPr>
        <w:t>E. 6</w:t>
      </w:r>
    </w:p>
    <w:p>
      <w:r>
        <w:t>Für das Beschwerdeverfahren beträgt der Streitwert Fr. 290.60. Die zweitinstanzliche Entscheidgebühr ist in Anwendung von Art. 48 i.V.m. Art. 61 Abs. 1 GebV SchKG auf Fr. 150.– festzusetzen und ausgangsgemäss dem Ge- suchsgegner aufzuerlegen (Art. 106 Abs. 1 ZPO). Parteientschädigungen sind keine zuzusprechen, da der Gesuchsgegner unterliegt und dem Gesuchsteller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