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RT230163 vom 18. April 2024</w:t>
      </w:r>
    </w:p>
    <w:p>
      <w:r>
        <w:t>ZH Obergericht, 2024-04-18, DE</w:t>
      </w:r>
    </w:p>
    <w:p>
      <w:r>
        <w:rPr>
          <w:b/>
        </w:rPr>
        <w:t xml:space="preserve">Quelle: </w:t>
      </w:r>
      <w:r>
        <w:t>https://mcp.opencaselaw.ch/entscheid/zh_obergericht_RT230163</w:t>
      </w:r>
    </w:p>
    <w:p>
      <w:r>
        <w:t>FR: ZH_OBERGERICHT RT230163 du 18 avril 2024</w:t>
      </w:r>
    </w:p>
    <w:p>
      <w:r>
        <w:t>IT: ZH_OBERGERICHT RT230163 del 18 aprile 2024</w:t>
      </w:r>
    </w:p>
    <w:p>
      <w:pPr>
        <w:pStyle w:val="Heading2"/>
      </w:pPr>
      <w:r>
        <w:t>Erwägungen</w:t>
      </w:r>
    </w:p>
    <w:p>
      <w:r>
        <w:rPr>
          <w:b/>
        </w:rPr>
        <w:t>E. 1</w:t>
      </w:r>
    </w:p>
    <w:p>
      <w:r>
        <w:t>a) Mit Entscheid vom 10. Oktober 2023 wies die Vorinstanz den Antrag des Gesuchsgegners und Beschwerdeführers (fortan Gesuchsgegner) um Sistie- rung des Rechtsöffnungsverfahrens ab und erteilte der Gesuchstellerin und Be- schwerdegegnerin (fortan Gesuchstellerin) in der Betreibung Nr. … des Betrei- bungsamtes Zürich 1 (Zahlungsbefehl vom 4. Mai 2023) gestützt auf die Verfü- gung des Bezirksgerichts Zürich vom 14. April 2023 (Geschäfts-Nr. FK210141-L; Urk. 4/3) definitive Rechtsöffnung für Fr. 52'080.– nebst Zins zu 5 % seit 4. Mai 2023. Im Mehrumfang wurde das Gesuch abgewiesen (Urk. 20 = Urk. 23). b) Mit Eingabe vom 27. Oktober 2023 erhob der Gesuchsgegner innert Frist Beschwerde gegen den vorgenannten Entscheid mit folgenden Anträgen (Urk. 22 S. 2 = Urk. 24 S. 2): "1. Der Entscheid des Bezirksgerichts Zürich, Einzelgericht Audienz, vom 10. Oktober 2023 (Geschäfts-Nr.: EB230952-L/U) sei vollum- fänglich aufzuheben.</w:t>
      </w:r>
    </w:p>
    <w:p>
      <w:r>
        <w:rPr>
          <w:b/>
        </w:rPr>
        <w:t>E. 2</w:t>
      </w:r>
    </w:p>
    <w:p>
      <w:r>
        <w:t>Prozessualiter sei der Beschwerde die aufschiebende Wirkung zu erteilen.</w:t>
      </w:r>
    </w:p>
    <w:p>
      <w:r>
        <w:rPr>
          <w:b/>
        </w:rPr>
        <w:t>E. 3</w:t>
      </w:r>
    </w:p>
    <w:p>
      <w:r>
        <w:t>Ferner sei das Beschwerdeverfahren bis zum Vorliegen der Urteile des Bundesgerichts in den Verfahren BGE 5A_587/2023 und BGE 2C_355/2023 zu sistieren.</w:t>
      </w:r>
    </w:p>
    <w:p>
      <w:r>
        <w:rPr>
          <w:b/>
        </w:rPr>
        <w:t>E. 4</w:t>
      </w:r>
    </w:p>
    <w:p>
      <w:r>
        <w:t>Der Gesuchsgegner hält in der Beschwerdeschrift daran fest, dass die Gesuchstellerin nicht aktivlegitimiert sei (Urk. 22 S. 7 Rz. 23). Hierzu ist zu bemer- ken, dass das Bundesgericht in Nachachtung des prozessstandschaftlichen Lega-</w:t>
      </w:r>
    </w:p>
    <w:p>
      <w:r>
        <w:t>- 6 - litätsprinzips dem Inhaber der elterlichen Sorge gestützt auf Art. 318 Abs. 1 ZGB die Befugnis zuerkannt hat, die Rechte des unmündigen Kindes in vermögens- rechtlichen Angelegenheiten (insbesondere betreffend Unterhaltsbeiträge) vor dem Gericht – d.h. auch in einem Rechtsöffnungsverfahren – in eigenem Namen geltend zu machen. Diese Befugnis setzt das Bestehen der elterlichen Sorge vor- aus und endet mit der Volljährigkeit des Kindes (Art. 296 ff. i.V.m. Art. 14 ZGB; BGE 142 III 78 E. 3.2 m.w.H.) oder auch mit der vollständigen Übertragung der el- terlichen Sorge (vgl. Art. 298 Abs. 1 ZGB; OGer ZH RT200189-O vom 30.06.2021, E. III.1.2.3). Die Gesuchstellerin war demnach im vorinstanzlichen Verfahren aktivlegitimiert, was die Vorinstanz korrekterweise unter Hinweis auf die Erwägung 3.1 des Urteils des Bundesgerichts 5A_782/2021 vom 29. Juni 2022 auch so festhielt (Urk. 23 S. 6 f. E. 5.3).</w:t>
      </w:r>
    </w:p>
    <w:p>
      <w:r>
        <w:rPr>
          <w:b/>
        </w:rPr>
        <w:t>E. 5</w:t>
      </w:r>
    </w:p>
    <w:p>
      <w:r>
        <w:t>Solange nicht ein anderslautender Entscheid einer Gerichts- oder Verwal- tungsbehörde vorliegt, behält der Rechtsöffnungstitel seine Gültigkeit und ist die- ser zu vollstrecken. So steht es beispielsweise einem Unterhaltsschuldner bei Vorliegen eines entsprechenden Rechtsöffnungstitels nicht frei, dem Rechtsöff- nungsgericht nachzuweisen, dass seine finanziellen Verhältnisse sich seit dem Erlass des Unterhaltsentscheids verschlechtert hätten; er ist hierfür auf das Abän- derungsverfahren zu verweisen. Bis zum Vorliegen eines vollstreckbaren Abände- rungsentscheids ist der ursprüngliche Unterhaltsentscheid – Rechtsmissbrauch vorbehalten – auch dann zu vollstrecken, wenn die entsprechenden Abände- rungsvoraussetzungen offensichtlich erfüllt wären (ZR 117 [2018] S. 59). Es spielt demnach entgegen der Auffassung des Gesuchsgegners (Urk. 22 S. 7 f. Rz. 24 f.) keine Rolle, dass das Unterhaltsabänderungsverfahren noch nicht abgeschlossen und das Rechtsmittelverfahren betreffend die vorsorglichen Massnahmen derzeit vor Bundesgericht hängig ist. Wie bereits die Vorinstanz zu Recht ausführte, muss der zu vollstreckende Entscheid nicht in Rechtskraft er- wachsen sein; die Vollstreckbarkeit des Entscheids genügt hierfür (Urk. 23 S. 7 E. 6.2). Da – wie bereits erwähnt – das Bundesgericht das Gesuch um Gewäh- rung der aufschiebenden Wirkung in Bezug auf das Urteil der erkennenden Kam- mer vom 10. Juli 2023 (LZ230019-O) mit Verfügung vom 31. August 2023 abge-</w:t>
      </w:r>
    </w:p>
    <w:p>
      <w:r>
        <w:t>- 7 - wiesen hat, ist die Verfügung betreffend Unterhalt des Bezirksgerichts Zürich vom 14. April 2023 (Urk. 4/3) vollstreckbar.</w:t>
      </w:r>
    </w:p>
    <w:p>
      <w:r>
        <w:rPr>
          <w:b/>
        </w:rPr>
        <w:t>E. 6</w:t>
      </w:r>
    </w:p>
    <w:p>
      <w:r>
        <w:t>Im Rahmen des Rechtsöffnungsverfahrens kann nicht überprüft werden, ob und inwieweit ein Schuldner finanziell in der Lage ist, eine fällige Schuld zu be- zahlen. Dies wird erst im Rahmen des Pfändungsvollzugs zu berücksichtigen sein (Art. 92 und 93 SchKG). Dies hat die Vorinstanz zu Recht so erkannt (Urk. 23 S. 10 E. 8.3). Die finanziellen Verhältnisse einer Partei spielen zwar gemäss bun- desgerichtlicher Rechtsprechung bei der Beurteilung eines Gesuchs um Gewäh- rung des Aufschubs der Vollstreckbarkeit gemäss Art. 315 Abs. 4 lit. b ZPO i.V.m. Art. 315 Abs. 5 ZPO sowie gemäss Art. 325 Abs. 2 ZPO eine Rolle (Urk. 22 S. 8 Rz. 26 f.); beim Entscheid, ob Rechtsöffnung zu erteilen ist oder nicht, sind die fi- nanziellen Verhältnisse des Schuldners durch das Gericht hingegen nicht zu be- rücksichtigen.</w:t>
      </w:r>
    </w:p>
    <w:p>
      <w:r>
        <w:rPr>
          <w:b/>
        </w:rPr>
        <w:t>E. 7</w:t>
      </w:r>
    </w:p>
    <w:p>
      <w:r>
        <w:t>a) Die höchstrichterliche Rechtsprechung verlangt, dass bei Betreibungen im Betreibungsbegehren und Zahlungsbefehl sowohl die Forderungsurkunde und deren Datum als auch bei periodischen Leistungen die Perioden angegeben wer- den müssen, für welche die Betreibung eingeleitet wird (BGE 141 III 173 E. 2.2.2 m.w.H. = Pra 106 [2017] Nr. 38, bestätigt unter anderem in BGer 5A_606/2016 vom 24. November 2016, E. 2.1). Aus dem Zahlungsbefehl vom 4. Mai 2023 geht zwar wie vom Gesuchsgegner vorgebracht (Urk. 22 S. 9 Rz. 28) lediglich hervor, dass die verlangten Kinderalimente von April 2022 bis Juni 2023 gemäss "Ge- richtsurteil" zu zahlen seien (Urk. 2 S. 1), dies führt jedoch nicht zur Nichtigkeit des Zahlungsbefehls (vgl. BGE 142 III 210 E. 4.1 m.w.H.; BGer 5A_861/2013 vom 15. April 2014, E. 2.2 m.w.H.). Fehlen im Zahlungsbefehl die erforderlichen Anga- ben, kann dieser innert der dafür massgeblichen Frist mittels betreibungsrechtli- cher Aufsichtsbeschwerde angefochten werden (vgl. Art. 17 SchKG), was auch die Vorinstanz zu Recht ausgeführt hat (Urk. 23 S. 8 f. E. 8.1). Das Rechtsöff- nungsgericht verfügt über eine eingeschränkte Kognition. Es kann nur prüfen, ob ein gültiger Rechtsöffnungstitel vorliegt und ob die drei Identitäten (Identität zwi- schen dem Betreibenden und dem auf dem Rechtsöffnungstitel genannten Gläu- biger / Identität zwischen dem Betriebenen und dem auf dem Rechtsöffnungstitel</w:t>
      </w:r>
    </w:p>
    <w:p>
      <w:r>
        <w:t>- 8 - genannten Schuldner / Identität zwischen der in Betreibung gesetzten Forderung und derjenigen, die sich aus dem Rechtsöffnungstitel ergibt) gegeben sind. Dar- über hinaus kann es entscheiden, ob die Einreden des Schuldners zu berücksich- tigen sind und ob die Betreibung offensichtlich verwirkt oder nichtig ist. Dagegen kann das Rechtsöffnungsgericht weder über den Inhalt des Rechtsöffnungstitels entscheiden noch einen Mangel der Betreibung feststellen, welcher mittels betrei- bungsrechtlicher Beschwerde geltend zu machen wäre (SK SchKG-Vock/Aepli- Wirz, Art. 84 N 16 m.H. auf BGE 139 III 444 E. 4.1.1 = Pra 103 [2014] Nr. 17). Der Gesuchsgegner hat gegen den Zahlungsbefehl unbestrittenermassen keine Be- schwerde gemäss Art. 17 SchKG erhoben. Damit gilt der Mangel als geheilt (Stü- cheli, Die Rechtsöffnung, 2000, S. 92). Die Tatsache, dass im Zahlungsbefehl die exakte Bezeichnung des Rechtsöffnungstitels sowie die Berechnung der geforder- ten Summe fehlt, durfte von der Vorinstanz nicht (von Amtes wegen) überprüft und berücksichtigt werden (OGer ZH RT190172-O vom 24.02.2020, E. II.B.3.1 und 3.2). b) Zudem kann gemäss der Praxis der Kammer die im Zahlungsbefehl unge- nügende Spezifizierung im Rechtsöffnungsgesuch nachgeholt werden (vgl. OGer ZH RT190172-O vom 24.02.2020, E. II.B.3.3.1 m.w.H.). Im Gesuch um Rechtsöff- nung vom 5. Juli 2023 bezeichnete die Gesuchstellerin den Rechtsöffnungstitel explizit mit "Urteil des Bezirksgerichts Zürich, 7. Abteilung Einzelgericht, vom 4. April 2023 (Geschäfts-Nr. FK210141)" (Urk. 1 S. 1). Als Forderungsgrund führte sie "Offene Kindesunterhaltsbeiträge von April 2022 bis Mai 2023 gemäss Verfü- gung des Bezirksgerichts Zürich vom 14. April 2023 (Geschäfts Nr. FK210141)" an (Urk. 1 S. 1). In der Gesuchsbegründung machte sie sodann geltend, vom 1. April 2022 bis 1. Mai 2023 seien gestützt auf die erwähnte Verfügung Kinderun- terhaltsbeiträge von insgesamt Fr. 66'080.– geschuldet, wobei der Gesuchsgeg- ner während dieser Zeit jeweils monatlich Fr. 1'000.– bezahlt habe, weshalb bis und mit 4. Mai 2023 (Zeitpunkt des Betreibungsbegehrens) noch Fr. 52'080.– of- fen gewesen seien. Entgegen ihrem Betreibungsbegehren seien in dem Moment jedoch erst 14 und nicht 15 Monate Unterhalt geschuldet gewesen. Die Unter- haltsbeiträge seien sodann allesamt fällig. Gefordert werde zudem 5 % Zins seit 16. Oktober 2022 (mittlerer Verfall) und nicht seit 1. April 2022 (Urk. 1 S. 2). Folg-</w:t>
      </w:r>
    </w:p>
    <w:p>
      <w:r>
        <w:t>- 9 - lich ist davon auszugehen, dass die Gesuchstellerin die notwendige Bezeichnung des Rechtsöffnungstitels, die zeitliche Spezifizierung der Forderung sowie die Be- rechnungsweise der geltend gemachten Forderung im Rechtsöffnungsgesuch rechtsgenügend nachgeholt hat. Entgegen der Ansicht des Gesuchsgegners (Urk. 22 S. 9 f. Rz. 29 ff.) steht es einem Gläubiger aufgrund der Dispositionsma- xime sodann frei, im Rechtsöffnungsverfahren einen tieferen Betrag zu verlangen, als er ursprünglich im Zahlungsbefehl gefordert hatte (Stücheli, Die Rechtsöff- nung, 2000, S. 125).</w:t>
      </w:r>
    </w:p>
    <w:p>
      <w:r>
        <w:rPr>
          <w:b/>
        </w:rPr>
        <w:t>E. 8</w:t>
      </w:r>
    </w:p>
    <w:p>
      <w:r>
        <w:t>Inwiefern sich die Vorinstanz zum vom Gesuchsgegner beantragten Diszi- plinarverfahren gegen die Rechtsvertreterin der Gesuchstellerin hätte bestätigend äussern sollen, wie der Gesuchsgegner nun im Beschwerdeverfahren vorbringt (Urk. 22 S. 10 Rz. 32), ist nicht ersichtlich. Wie von der Vorinstanz zu Recht aus- geführt, ist ein allfälliges Disziplinarverfahren bei der zuständigen Aufsichtskom- mission über die Anwältinnen und Anwälte des Kantons Zürich anhängig zu ma- chen (Urk. 23 S. 11 E. 8.5). Die Vorinstanz war hierfür nicht zuständig, weshalb es nicht an ihr war, sich diesbezüglich in irgendeiner Art bestätigend zu äussern.</w:t>
      </w:r>
    </w:p>
    <w:p>
      <w:r>
        <w:rPr>
          <w:b/>
        </w:rPr>
        <w:t>E. 9</w:t>
      </w:r>
    </w:p>
    <w:p>
      <w:r>
        <w:t>Damit erweist sich die Beschwerde als offensichtlich unbegründet. Es kann daher davon abgesehen werden, eine Beschwerdeantwort der Gesuchstel- lerin oder eine Stellungnahme der Vorinstanz einzuholen (Art. 322 ZPO, Art. 324 ZPO). Die Beschwerde ist abzuweisen, soweit darauf einzutreten ist. Mit dem vorliegenden Entscheid in der Sache wird der Antrag um Erteilung der aufschiebenden Wirkung obsolet.</w:t>
      </w:r>
    </w:p>
    <w:p>
      <w:r>
        <w:rPr>
          <w:b/>
        </w:rPr>
        <w:t>E. 10</w:t>
      </w:r>
    </w:p>
    <w:p>
      <w:r>
        <w:t>Die zweitinstanzliche Spruchgebühr ist ausgangsgemäss dem Gesuchs- gegner aufzuerlegen (Art. 106 Abs. 1 ZPO). Die Spruchgebühr ist gestützt auf Art. 48 i.V.m. Art. 61 Abs. 1 GebV SchKG auf Fr. 500.– festzusetzen. Mangels wesentlicher Umtriebe ist der Gesuchstellerin für das Beschwerdeverfahren keine Entschädigung zuzusprechen (vgl. Art. 95 Abs. 3 ZPO). Der Gesuchsgegner sei- nerseits hat als unterliegende Partei keinen Anspruch auf Entschädigung (vgl. Art. 106 Abs. 1 ZPO).</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