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RT230148 vom 24. Oktober 2023</w:t>
      </w:r>
    </w:p>
    <w:p>
      <w:r>
        <w:t>ZH Obergericht, 2023-10-24, DE</w:t>
      </w:r>
    </w:p>
    <w:p>
      <w:r>
        <w:rPr>
          <w:b/>
        </w:rPr>
        <w:t xml:space="preserve">Quelle: </w:t>
      </w:r>
      <w:r>
        <w:t>https://mcp.opencaselaw.ch/entscheid/zh_obergericht_RT230148</w:t>
      </w:r>
    </w:p>
    <w:p>
      <w:r>
        <w:t>FR: ZH_OBERGERICHT RT230148 du 24 octobre 2023</w:t>
      </w:r>
    </w:p>
    <w:p>
      <w:r>
        <w:t>IT: ZH_OBERGERICHT RT230148 del 24 ottobre 2023</w:t>
      </w:r>
    </w:p>
    <w:p>
      <w:pPr>
        <w:pStyle w:val="Heading2"/>
      </w:pPr>
      <w:r>
        <w:t>Erwägungen</w:t>
      </w:r>
    </w:p>
    <w:p>
      <w:r>
        <w:rPr>
          <w:b/>
        </w:rPr>
        <w:t>E. 2</w:t>
      </w:r>
    </w:p>
    <w:p>
      <w:r>
        <w:t>Der Beklagte ersucht um Verlängerung der Frist zur Begründung der Be- schwerde um drei Monate sowie um Aussetzung des Beschwerdeverfahrens auf- grund seines Gefängnisaufenthalts (Urk. 27 S. 1 f. 3. und 7. Antrag). Eine Verlän- gerung der zehntägigen Frist zur Einreichung einer begründeten Beschwerde nach Art. 321 Abs. 1 und Abs. 2 ZPO ist nicht möglich, da es sich hierbei um eine gesetzliche Frist handelt, welche gemäss Art. 144 Abs. 1 ZPO nicht erstreckt</w:t>
      </w:r>
    </w:p>
    <w:p>
      <w:r>
        <w:t>- 3 - werden kann. Das Fristerstreckungsgesuch ist daher abzuweisen. Sodann liegen auch keine Gründe für eine Aussetzung des Verfahrens vor. Gemäss Art. 126 ZPO kann das Gericht ein Verfahren sistieren, wenn die Zweckmässigkeit dies verlangt. Das Verfahren kann namentlich sistiert werden, wenn der Entscheid vom Ausgang eines anderen Verfahrens abhängig ist. Dies ist vorliegend unbestritte- nermassen nicht der Fall. Dass sich der Beklage derzeit in Haft befindet, ist kein Sistierungsgrund, zumal nicht glaubhaft ist, dass es ihm verboten ist, aus dem Gefängnis eine Rechtsvertretung zu kontaktieren. Entsprechend ist auch das Sis- tierungsgesuch abzuweisen.</w:t>
      </w:r>
    </w:p>
    <w:p>
      <w:r>
        <w:rPr>
          <w:b/>
        </w:rPr>
        <w:t>E. 3</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 setzlichen Begründungsanforderungen genügenden Weise beanstandet wird, braucht von der Rechtsmittelinstanz nicht überprüft zu werden. Das gilt zumindest insoweit, als ein Mangel nicht offensichtlich ist (BGE 147 III 176 E. 4.2.1). Sodann sind neue Anträge, neue Tatsachenbehauptungen und neue Beweismittel (No- ven) im Beschwerdeverfahren ausgeschlossen (Art. 326 Abs. 1 ZPO). Dies wird mit dem Charakter der Beschwerde begründet, die sich als ausserordentliches Rechtsmittel auf die Rechtskontrolle beschränkt und nicht das erstinstanzliche Verfahren fortsetzen soll. Das Novenverbot ist umfassend und gilt sowohl für ech- te als auch für unechte Noven (ZK ZPO-Freiburghaus/Afheldt, Art. 326 N 3 f.). 4.1. Der Beklagte beantragt "die Feststellung des Rubrums" (Urk. 27 S. 2</w:t>
      </w:r>
    </w:p>
    <w:p>
      <w:r>
        <w:rPr>
          <w:b/>
        </w:rPr>
        <w:t>E. 5</w:t>
      </w:r>
    </w:p>
    <w:p>
      <w:r>
        <w:t>Die Entscheidgebühr für das Beschwerdeverfahren ist in Anwendung von Art. 48 in Verbindung mit Art. 61 Abs. 1 GebV SchKG und ausgehend von einem Streitwert von Fr. 5'396.89 auf Fr. 300.– festzusetzen. Die Gerichtskosten sind ausgangsgemäss dem Beklagten aufzuerlegen (Art. 106 Abs. 1 ZPO). Parteient- schädigungen sind im Beschwerdeverfahren keine zuzusprechen, dem Beklagten infolge seines Unterliegens, dem Kläger mangels relevanter Umtriebe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