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RT230145 vom 12. Oktober 2023</w:t>
      </w:r>
    </w:p>
    <w:p>
      <w:r>
        <w:t>ZH Obergericht, 2023-10-12, DE</w:t>
      </w:r>
    </w:p>
    <w:p>
      <w:r>
        <w:rPr>
          <w:b/>
        </w:rPr>
        <w:t xml:space="preserve">Quelle: </w:t>
      </w:r>
      <w:r>
        <w:t>https://mcp.opencaselaw.ch/entscheid/zh_obergericht_RT230145</w:t>
      </w:r>
    </w:p>
    <w:p>
      <w:r>
        <w:t>FR: ZH_OBERGERICHT RT230145 du 12 octobre 2023</w:t>
      </w:r>
    </w:p>
    <w:p>
      <w:r>
        <w:t>IT: ZH_OBERGERICHT RT230145 del 12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1. Juni 2023 (Datum Poststempel) stellte der Gesuchsteller und Beschwerdegegner (fortan Gesuchsteller) bei der Vorinstanz ein Gesuch um Er- teilung der definitiven Rechtsöffnung für die direkte Bundessteuer des Steuerjah- res 2020 für Fr. 1'700.– nebst Zins zu 4 % seit 24. August 2022, Fr. 8.65 Zins, Fr. 25.60 Zins bis 23. August 2022 und die Betreibungskosten (Urk. 4/1). Mit Ver- fügung vom 2. Juni 2023 setzte die Vorinstanz der Gesuchsgegnerin und Be- schwerdeführerin (fortan Gesuchsgegnerin) Frist zur schriftlichen Stellungnahme zum Rechtsöffnungsgesuch an (Urk. 4/4). b) Hiergegen erhob die Gesuchsgegnerin mit Eingabe vom 30. Septem- ber 2023 (kein Poststempel, eingegangen am 5. Oktober 2023) Beschwerde mit dem sinngemässen Antrag auf Abweisung des Rechtsöffnungsgesuchs (Urk. 1 S. 2). c) Die vorinstanzlichen Akten wurden beigezogen. Da sich die Beschwer- de sogleich als offensichtlich unbegründet bzw. unzulässig erweist, kann auf wei- tere Prozesshandlungen verzichtet werden (vgl. Art. 322 Abs. 1 ZPO).</w:t>
      </w:r>
    </w:p>
    <w:p>
      <w:r>
        <w:rPr>
          <w:b/>
        </w:rPr>
        <w:t>E. 2</w:t>
      </w:r>
    </w:p>
    <w:p>
      <w:r>
        <w:t>Die angefochtene Verfügung wurde der Gesuchsgegnerin durch das Ge- meindeammannamt B._____ am 12. September 2023 zugestellt (vgl. Urk. 4/7). Die Beschwerdefrist beträgt 10 Tage (Art. 321 Abs. 2 ZPO), was auch von der Vo- rinstanz in der Rechtsmittelbelehrung (Urk. 4/4 Dispositiv-Ziffer 4) korrekt ange- geben wurde. Die Frist lief für die Gesuchsgegnerin am 22. September 2023 ab (Art. 143 Abs. 1 ZPO). Die Briefumschläge zur Beschwerdeschrift verfügen über keinen Poststempel, weshalb die Postaufgabe nicht eruiert werden kann (an Urk. 1 angeheftete Briefumschläge). Aufgrund der Datierung der Beschwerde- schrift durch C._____ (Mitglied des Verwaltungsrats und Einzelzeichnungsberech- tigter der Gesuchsgegnerin) auf den 30. September 2023 (Urk. 1 S. 1) und des Vermerks auf der Rückseite eines der Briefumschläge "Abgabe im Gefängnis 30.9.2023" ist zu Gunsten der Gesuchsgegnerin davon auszugehen, dass die Be- schwerde gleichentags der Post übergeben worden ist. Die Beschwerde ist damit</w:t>
      </w:r>
    </w:p>
    <w:p>
      <w:r>
        <w:t>- 3 - verspätet erhoben worden (Art. 143 Abs. 1 ZPO); auf sie kann demzufolge nicht eingetreten werden.</w:t>
      </w:r>
    </w:p>
    <w:p>
      <w:r>
        <w:rPr>
          <w:b/>
        </w:rPr>
        <w:t>E. 3</w:t>
      </w:r>
    </w:p>
    <w:p>
      <w:r>
        <w:t>Die Entscheidgebühr für das Beschwerdeverfahren ist in Anwendung von Art. 48 i.V.m. Art. 61 Abs. 1 GebV SchKG auf Fr. 300.– festzusetzen. Die Ge- richtskosten sind ausgangsgemäss der Gesuchsgegnerin aufzuerlegen (Art. 106 Abs. 1 ZPO). Für das Beschwerdeverfahren sind keine Parteientschädigungen zuzusprechen, der Gesuchsgegnerin zufolge ihres Unterliegens, dem Gesuchstel- ler mangels relevanter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