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RT230138 vom 14. März 2024</w:t>
      </w:r>
    </w:p>
    <w:p>
      <w:r>
        <w:t>ZH Obergericht, 2024-03-14, DE</w:t>
      </w:r>
    </w:p>
    <w:p>
      <w:r>
        <w:rPr>
          <w:b/>
        </w:rPr>
        <w:t xml:space="preserve">Quelle: </w:t>
      </w:r>
      <w:r>
        <w:t>https://mcp.opencaselaw.ch/entscheid/zh_obergericht_RT230138</w:t>
      </w:r>
    </w:p>
    <w:p>
      <w:r>
        <w:t>FR: ZH_OBERGERICHT RT230138 du 14 mars 2024</w:t>
      </w:r>
    </w:p>
    <w:p>
      <w:r>
        <w:t>IT: ZH_OBERGERICHT RT230138 del 14 marzo 2024</w:t>
      </w:r>
    </w:p>
    <w:p>
      <w:pPr>
        <w:pStyle w:val="Heading2"/>
      </w:pPr>
      <w:r>
        <w:t>Erwägungen</w:t>
      </w:r>
    </w:p>
    <w:p>
      <w:r>
        <w:rPr>
          <w:b/>
        </w:rPr>
        <w:t>E. 1</w:t>
      </w:r>
    </w:p>
    <w:p>
      <w:r>
        <w:t>a) Mit Urteil vom 13. September 2023 erteilte die Vorinstanz der Gesuch- stellerin und Beschwerdegegnerin (fortan Gesuchstellerin) in der Betreibung Nr. 1 des Betreibungsamtes Küsnacht-Zollikon-Zumikon (Zahlungsbefehl vom 27. Juni 2023) gestützt auf die rechtskräftigen Strafbefehle des Stadtrichteramtes Zürich vom 4. Dezember 2019 (Urk. 3/1/1), vom 10. Januar 2020 (Urk. 3/2/1), vom 12. April 2021 (Urk. 3/3/1) und vom 22. März 2023 (Urk. 3/4/1) definitive Rechts- öffnung für Fr. 700.– nebst Zins zu 5 % seit 5. Mai 2023, für Fr. 110.–, für Fr. 80.– und für die Betreibungskosten sowie für Kosten und Entschädigung gemäss den Dispositivziffern 2 bis 5 des Urteils (Urk. 9 = Urk. 12). b) Innert Frist erhob der Gesuchsgegner und Beschwerdeführer (fortan Ge- suchsgegner) mit Eingabe vom 22. September 2023 Beschwerde mit dem sinnge- mässen Antrag, es sei das angefochtene Urteil aufzuheben und das Gesuch um Erteilung der definitiven Rechtsöffnung abzuweisen (Urk. 11). c) Die vorinstanzlichen Akten wurden beigezogen (vgl. Urk. 1-10/2). d) Auf die Ausführungen des Gesuchsgegners in seiner Beschwerdeschrift ist nachfolgend nur insoweit einzugehen, als sich dies für die Entscheidfindung als notwendig erweist.</w:t>
      </w:r>
    </w:p>
    <w:p>
      <w:r>
        <w:rPr>
          <w:b/>
        </w:rPr>
        <w:t>E. 2</w:t>
      </w:r>
    </w:p>
    <w:p>
      <w:r>
        <w:t>a) Die beschwerdeführende Partei hat im Einzelnen darzulegen, an wel- chen Mängeln (unrichtige Rechtsanwendung, offensichtlich unrichtige Feststel- lung des Sachverhalts; Art. 320 ZPO) der angefochtene Entscheid ihrer Ansicht nach leidet (Freiburghaus/Afheldt, in: Sutter-Somm/Hasenböhler/Leuenberger, ZPO Komm., Art. 321 N 15). Unerlässlich ist, dass die Beschwerde auf die Be- gründung des angefochtenen Entscheids eingeht. Die beschwerdeführende Partei soll in der Beschwerdeschrift nicht bloss die Standpunkte, die sie im vorinstanzli- chen Verfahren eingenommen hat, erneut bekräftigen, sondern mit ihrer Kritik an den als fehlerhaft erachteten Erwägungen der Vorinstanz ansetzen. In wörtlichen Wiederholungen der früheren Eingaben kann von vornherein keine genügende Auseinandersetzung mit dem angefochtenen Entscheid erblickt werden (BGer</w:t>
      </w:r>
    </w:p>
    <w:p>
      <w:r>
        <w:t>- 3 - 5A_580/2021 vom 21. April 2022, E. 3.3 m.w.H.; vgl. zum diesbezüglich analogen bundesgerichtlichen Verfahren BGer 4A_498/2021 vom 21. Dezember 2021, E. 2.1 m.w.H., und BGer 5A_563/2021 vom 18. Oktober 2021, E. 2.3 m.w.H.). Erfüllt die Beschwerde grundlegende Inhaltsanforderungen nicht, fehlt es an einer Eintretensvoraussetzung und die Rechtsmittelinstanz hat darauf nicht einzu- treten. Inhaltliche Nachbesserung der Begründung ist nach Ablauf der Beschwer- defrist nicht zulässig (BGer 5D_215/2015 vom 16. März 2016, E. 3.1 m.w.H.). b) Der Gesuchsgegner wiederholt in seiner Beschwerdeschrift (Urk. 11) wortwörtlich seine im erstinstanzlichen Verfahren in der Eingabe vom 31. August 2023 vorgebrachten Argumente (Urk. 6). Im Übrigen lediglich auszuführen, die Vorinstanz habe keine saubere Analyse seiner Situation durchgeführt, stellt keine konkrete Auseinandersetzung mit den vorinstanzlichen Erwägungen (Urk. 12 S. 2 ff. E. 2-7, insbesondere E. 3.3-3.4) dar. Eine genügende Auseinandersetzung mit den erstinstanzlichen Erwägungen im Sinne der bundesgerichtlichen Recht- sprechung ist seiner Beschwerdeschrift demnach nicht zu entnehmen, weshalb auf die Beschwerde nicht einzutreten ist.</w:t>
      </w:r>
    </w:p>
    <w:p>
      <w:r>
        <w:rPr>
          <w:b/>
        </w:rPr>
        <w:t>E. 3</w:t>
      </w:r>
    </w:p>
    <w:p>
      <w:r>
        <w:t>Der Gesuchsgegner stellt für das Beschwerdeverfahren kein konkretes Gesuch um Gewährung der unentgeltlichen Rechtspflege (vgl. Urk. 11). Da die Beschwerde von vornherein als aussichtslos anzusehen war (vgl. vorstehende Er- wägung 2), wäre dieses jedoch auch abzuweisen gewesen, wenn es gestellt wor- den wäre. Der Anspruch auf unentgeltliche Rechtspflege setzt neben der Mittello- sigkeit nämlich zusätzlich voraus, dass das Rechtsbegehren nicht aussichtslos er- scheint (Art. 117 lit. b ZPO).</w:t>
      </w:r>
    </w:p>
    <w:p>
      <w:r>
        <w:rPr>
          <w:b/>
        </w:rPr>
        <w:t>E. 4</w:t>
      </w:r>
    </w:p>
    <w:p>
      <w:r>
        <w:t>Die Prozesskosten werden der unterliegenden Partei auferlegt. Bei Nicht- eintreten gilt die klagende Partei bzw. die Partei, welche das Rechtsmittel erho- ben hat, als unterliegend (vgl. Art. 106 Abs. 1 ZPO), weshalb dem Gesuchsgeg- ner die Gerichtskosten des Beschwerdeverfahrens aufzuerlegen sind. Die Spruchgebühr ist gestützt auf Art. 48 i.V.m. Art. 61 Abs. 1 GebV SchKG auf Fr. 150.– festzusetzen. Mangels wesentlicher Umtriebe ist der Gesuchstellerin für das Beschwerdeverfahren keine Entschädigung zuzusprechen (vgl. Art. 95 Abs. 3</w:t>
      </w:r>
    </w:p>
    <w:p>
      <w:r>
        <w:t>- 4 - ZPO). Der Gesuchsgegner seinerseits hat als unterliegende Partei keinen An- spruch auf Entschädigung (vgl. Art. 106 Abs. 1 ZPO), wobei er im Beschwerde- verfahren ohnehin keinen diesbezüglichen Antrag stellte (Urk. 11).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