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RT230137 vom 10. Oktober 2023</w:t>
      </w:r>
    </w:p>
    <w:p>
      <w:r>
        <w:t>ZH Obergericht, 2023-10-10, DE</w:t>
      </w:r>
    </w:p>
    <w:p>
      <w:r>
        <w:rPr>
          <w:b/>
        </w:rPr>
        <w:t xml:space="preserve">Quelle: </w:t>
      </w:r>
      <w:r>
        <w:t>https://mcp.opencaselaw.ch/entscheid/zh_obergericht_RT230137</w:t>
      </w:r>
    </w:p>
    <w:p>
      <w:r>
        <w:t>FR: ZH_OBERGERICHT RT230137 du 10 octobre 2023</w:t>
      </w:r>
    </w:p>
    <w:p>
      <w:r>
        <w:t>IT: ZH_OBERGERICHT RT230137 del 10 ottobre 2023</w:t>
      </w:r>
    </w:p>
    <w:p>
      <w:pPr>
        <w:pStyle w:val="Heading2"/>
      </w:pPr>
      <w:r>
        <w:t>Erwägungen</w:t>
      </w:r>
    </w:p>
    <w:p>
      <w:r>
        <w:rPr>
          <w:b/>
        </w:rPr>
        <w:t>E. 21</w:t>
      </w:r>
    </w:p>
    <w:p>
      <w:r>
        <w:t>September 2023) fristgerecht (Urk. 8b und Art. 321 Abs. 2 ZPO) Beschwerde mit dem sinngemässen Antrag, das Rechtsöffnungsgesuch sei abzuweisen (Urk. 9). 1.3. Die vorinstanzlichen Akten wurden beigezogen (Urk. 1-8). Da sich die Beschwerde sogleich als offensichtlich unbegründet erweist, kann auf weitere Prozesshandlungen verzichtet werden (Art. 322 Abs. 1 ZPO). 2. Die Vorinstanz erwog, die Schlussrechnung vom 13. Februar 2023 stel- le in Verbindung mit dem Einschätzungsentscheid des kantonalen Steueramtes vom 11. Januar 2023 einen definitiven Rechtsöffnungstitel dar. Betragsmässig sei die Forderung samt Zins durch die eingereichten Unterlagen ausgewiesen. Es sei den Gesuchstellern daher definitive Rechtsöffnung zu erteilen, sofern der Ge- suchsgegner nicht durch Urkunden beweise, dass die Schuld seit Erlass des Ent- scheids getilgt oder gestundet worden sei, oder die Verjährung anrufe. Soweit der Gesuchsgegner die inhaltliche Richtigkeit der Steuerverfügung rüge, sei er darauf hinzuweisen, dass es dem Rechtsöffnungsgericht verwehrt sei, darüber zu befin- den. Die Zustellung einer Rechtskraftbescheinigung an den Steuerpflichtigen sei sodann keine Voraussetzung für die Vollstreckbarkeit einer Verfügung. Es habe kein Anlass dafür bestanden, ihm eine solche zuzustellen. Weiter könne die Ver- jährung bezüglich Steuerforderungen aus dem Jahr 2021 zum aktuellen Zeitpunkt offensichtlich nicht vorliegen. Aus den pauschalen, teilweise schwer verständli- chen Vorbringen des Gesuchsgegners gehe nicht hervor, worauf sich dieser mit</w:t>
      </w:r>
    </w:p>
    <w:p>
      <w:r>
        <w:t>- 3 - seinem Begehren stütze. Mit seinen Ausführungen mache der Gesuchsgegner je- denfalls nicht geltend, dass er die ihm auferlegte Steuerschuld bereits beglichen hätte oder diese ihm gestundet worden sei. Einwendungen, die der Rechtsöffnung entgegenstünden, habe der Gesuchsgegner folglich keine vorgebracht und solche gingen auch aus den Akten nicht hervor (Urk. 10 S. 2 f.). 3. Der Gesuchsgegner rügt zusammengefasst (soweit verständlich), dass die Betreibung rassistisch sei und auf keinen Beweisen beruhe. Die Steuerbe- rechnung sei willkürlich, da er keine Steuererklärung eingereicht habe. Die Rechtskraftbescheinigung sei kein Beweis und ihm nicht zugestellt worden. Daher sei die Betreibung wegen Verjährung zu löschen. Gebühren und Mahnungen sei- en unzulässig und als Betrug zu bezeichnen (Urk. 9 S. 2 ff.). 4.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Die blosse Verweisung auf die Ausführungen vor Vorinstanz oder deren blosse Wiederholung genügen nicht (Art. 321 Abs. 1 ZPO; BGer 5D_146/2017 vom 17. November 2017, E. 3.3.2; BGer 5A_387/2016 vom 7. September 2016, E. 3.1). 5. Der Gesuchsgegner wiederholt in der Beschwerdeschrift grösstenteils wortwörtlich seine vorinstanzlichen Ausführungen (Urk. 7; Urk. 9). Eine Auseinan- dersetzung mit den Erwägungen der Vorinstanz fehlt vollständig, was den Anfor- derungen an eine Beschwerdeschrift nicht genügt. Daher ist auf die Beschwerde nicht einzutreten. 6. Für das Beschwerdeverfahren beträgt der Streitwert Fr. 1'979.65. Die zweitinstanzliche Entscheidgebühr ist in Anwendung von Art. 48 i.V.m. Art. 61</w:t>
      </w:r>
    </w:p>
    <w:p>
      <w:r>
        <w:t>- 4 - Abs. 1 GebV SchKG auf Fr. 300.– festzusetzen und ausgangsgemäss dem Ge- suchsgegner aufzuerlegen (Art. 106 Abs. 1 ZPO). Parteientschädigungen sind keine zuzusprechen, da der Gesuchsgegner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