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RT230134 vom 9. Oktober 2023</w:t>
      </w:r>
    </w:p>
    <w:p>
      <w:r>
        <w:t>ZH Obergericht, 2023-10-09, DE</w:t>
      </w:r>
    </w:p>
    <w:p>
      <w:r>
        <w:rPr>
          <w:b/>
        </w:rPr>
        <w:t xml:space="preserve">Quelle: </w:t>
      </w:r>
      <w:r>
        <w:t>https://mcp.opencaselaw.ch/entscheid/zh_obergericht_RT230134</w:t>
      </w:r>
    </w:p>
    <w:p>
      <w:r>
        <w:t>FR: ZH_OBERGERICHT RT230134 du 9 octobre 2023</w:t>
      </w:r>
    </w:p>
    <w:p>
      <w:r>
        <w:t>IT: ZH_OBERGERICHT RT230134 del 9 ottobre 2023</w:t>
      </w:r>
    </w:p>
    <w:p>
      <w:pPr>
        <w:pStyle w:val="Heading2"/>
      </w:pPr>
      <w:r>
        <w:t>Erwägungen</w:t>
      </w:r>
    </w:p>
    <w:p>
      <w:r>
        <w:rPr>
          <w:b/>
        </w:rPr>
        <w:t>E. 2</w:t>
      </w:r>
    </w:p>
    <w:p>
      <w:r>
        <w:t>Der angefochtene Entscheid, mit welchem das schriftliche Verfahren an- geordnet und die Gesuchsgegnerin zur Stellungnahme aufgefordert wurde, stellt eine prozessleitende Verfügung dar, gegen welche nur in den vom Gesetz be- stimmten Fällen oder im Falle eines nicht leicht wiedergutzumachenden Nachteils Beschwerde geführt werden kann (Art. 319 lit. b ZPO), worauf die Vorinstanz in der Rechtsmittelbelehrung ausdrücklich hinwies (Urk. 2 S. 3). Ein vom Gesetz be- stimmter Fall liegt nicht vor. Die Gesuchsgegner wendet sich mit der Beschwerde gegen die betriebene Steuerforderung, die ihrer Auffassung nach auf einer willkür- lichen und unrealistischen Steuereinschätzung beruht und der Höhe nach nicht ih- ren Vermögensverhältnissen entspricht (Urk. 1). Damit tut sie indes keinen nicht leicht wiedergutzumachenden Nachteil dar, der ihr durch die Fristansetzung zur schriftlichen Stellungnahme erwachsen könnte resp. sich nicht durch einen für sie günstigen Endentscheid beheben liesse. Überdies stellt sie keinen Beschwerde- antrag; auf dessen Notwendigkeit hat ebenfalls bereits die Vorinstanz hingewie- sen (Urk. 2 S. 3). Auf die Beschwerde ist somit nicht einzutreten.</w:t>
      </w:r>
    </w:p>
    <w:p>
      <w:r>
        <w:rPr>
          <w:b/>
        </w:rPr>
        <w:t>E. 3</w:t>
      </w:r>
    </w:p>
    <w:p>
      <w:r>
        <w:t>Der Streitwert beträgt Fr. 10'000.– (Urk. 1). Die Entscheidgebühr ist auf Fr. 200.– festzusetzen (Art. 48 GebV SchKG) und ausgangsgemäss der Ge- suchsgegnerin aufzuerlegen (Art. 106 Abs. 1 ZPO).</w:t>
      </w:r>
    </w:p>
    <w:p>
      <w:r>
        <w:t>- 3 -</w:t>
      </w:r>
    </w:p>
    <w:p>
      <w:r>
        <w:rPr>
          <w:b/>
        </w:rPr>
        <w:t>E. 4</w:t>
      </w:r>
    </w:p>
    <w:p>
      <w:r>
        <w:t>Parteientschädigungen sind keine zuzusprechen, dem Gesuchsteller mangels Umtrieben und der Gesuchsgegnerin angesichts ihres Unterliegens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