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RT230127 vom 22. September 2023</w:t>
      </w:r>
    </w:p>
    <w:p>
      <w:r>
        <w:t>ZH Obergericht, 2023-09-22, DE</w:t>
      </w:r>
    </w:p>
    <w:p>
      <w:r>
        <w:rPr>
          <w:b/>
        </w:rPr>
        <w:t xml:space="preserve">Quelle: </w:t>
      </w:r>
      <w:r>
        <w:t>https://mcp.opencaselaw.ch/entscheid/zh_obergericht_RT230127</w:t>
      </w:r>
    </w:p>
    <w:p>
      <w:r>
        <w:t>FR: ZH_OBERGERICHT RT230127 du 22 septembre 2023</w:t>
      </w:r>
    </w:p>
    <w:p>
      <w:r>
        <w:t>IT: ZH_OBERGERICHT RT230127 del 22 settembre 2023</w:t>
      </w:r>
    </w:p>
    <w:p>
      <w:pPr>
        <w:pStyle w:val="Heading2"/>
      </w:pPr>
      <w:r>
        <w:t>Erwägungen</w:t>
      </w:r>
    </w:p>
    <w:p>
      <w:r>
        <w:rPr>
          <w:b/>
        </w:rPr>
        <w:t>E. 2</w:t>
      </w:r>
    </w:p>
    <w:p>
      <w:r>
        <w:t>März 2023 bzw. vom 27. Februar 2023 vorlägen. Entsprechend gelinge den Gesuchstellern der Nachweis des Vorliegens eines zusammengesetzten Rechts- öffnungstitels im Sinne von Art. 80 Abs. 1 SchKG. Da es sich beim Steueramt der Gemeinde B._____ um eine schweizerische Verwaltungsbehörde handle, stellten der vorgelegte Einspracheentscheid über den Einschätzungsentscheid sowie die eingereichte Schlussrechnung grundsätzlich einen zusammengesetzten definiti- ven Rechtsöffnungstitel im Sinne von Art. 80 Abs. 2 Ziff. 2 SchKG dar. Die darin ausgewiesene Forderung sei sodann identisch mit jener im Zahlungsbefehl und im Rechtsöffnungsgesuch genannten (Urk. 17 E. 2.3). 3.2. Anlässlich der Verhandlung vom 4. Juli 2023 habe der Gesuchsgegner gel- tend gemacht, er sei zu keinem neuen Vermögen gekommen, weshalb er auch den Rechtsvorschlag mit der Begründung des fehlenden neuen Vermögens erho-</w:t>
      </w:r>
    </w:p>
    <w:p>
      <w:r>
        <w:t>- 4 - ben habe. Wolle sich der Schuldner auf fehlendes neues Vermögen berufen, müsse er die Einrede ausdrücklich im Rechtsvorschlag erheben. In einem späte- ren Verfahrensstadium, wie beispielsweise in der Rechtsöffnung, könne die Ein- rede fehlenden neuen Vermögens nicht mehr erhoben werden. Der vorliegende Zahlungsbefehl weise keine Begründung des Rechtsvorschlags aus. Der Ge- suchsgegner habe bis zum Verhandlungsschluss als Eintritt der Novenschranke nicht mittels Urkunden darlegen können, dass er den Rechtsvorschlag (auch) mit fehlendem neuen Vermögen begründet habe. Erst mit Eingabe vom 7. Juli 2023 (Eingangsdatum) habe der Gesuchsgegner eine Kopie der Rückseite des Zah- lungsbefehls in der Betreibung Nr. ... eingereicht, auf welcher der Vermerk "Kein neues Vermögen" ersichtlich sei. Wie diese Diskrepanz zum von den Gesuchstel- lern eingereichten Zahlungsbefehl zustande komme, sei nicht weiter zu prüfen, da die Eingabe ohne zureichenden Grund nach Eintritt der Präklusion erfolgt sei. Es liege somit kein Rechtsvorschlag mit der Begründung fehlenden neuen Vermö- gens gemäss Art. 265a SchKG vor, weshalb auf den Einwand, die Forderung sei bereits vor Konkurseröffnung über den Gesuchsgegner am 6. April 2017 um 09.00 Uhr entstanden und daher Teil der Konkursmasse geworden, nicht einge- gangen werden müsse (Urk. 17 E. 2.4–2.6). 3.3. Den Ausführungen des Gesuchsgegners anlässlich der Verhandlung vom</w:t>
      </w:r>
    </w:p>
    <w:p>
      <w:r>
        <w:rPr>
          <w:b/>
        </w:rPr>
        <w:t>E. 4</w:t>
      </w:r>
    </w:p>
    <w:p>
      <w:r>
        <w:t>Juli 2023. Weshalb es ihm nicht möglich gewesen sein soll, die Kopie des Zah- lungsbefehls (Urk. 8) bereits an die Verhandlung vom 4. Juli 2023 mitzubringen, legt der Gesuchsgegner nicht dar und ist auch nicht ersichtlich. Diesbezüglich ist auch festzuhalten, dass die Vor-instanz den Gesuchsgegner anlässlich der Ver- handlung danach fragte, ob er sein Exemplar dabei habe, was er verneinte und ausführte, dass dies für ihn nicht mehr relevant sei (Prot. I S. 9). Auf die weitere Frage, ob es daher korrekt sei, dass er nicht belegen könne, Rechtsvorschlag mangels neuen Vermögens erhoben zu haben, und das Gericht dies somit nicht prüfen könne, antwortete der Gesuchsgegner nicht (Prot. I S. 9). Die Vorinstanz war daher auch nicht gehalten, dem Gesuchsgegner Gelegenheit zu geben, noch Unterlangen nachzureichen. Die erst nach Urteilsfällung am 5. Juli 2023 einge- reichte Eingabe des Gesuchsgegners vom 4. Juli 2023 (Eingangsdatum 7. Juli 2023, Aufgabedatum unbekannt) erfolgte damit zu spät und war entsprechend nicht mehr zu berücksichtigen. Im Ergebnis ist daher mit der Vorinstanz davon auszugehen, dass kein Rechtsvorschlag mit der Begründung fehlenden neuen Vermögens gemäss Art. 265a SchKG vorliegt. 5.3. Die Beschwerde des Gesuchsgegners ist daher abzuweisen, soweit auf sie einzutreten ist.</w:t>
      </w:r>
    </w:p>
    <w:p>
      <w:r>
        <w:rPr>
          <w:b/>
        </w:rPr>
        <w:t>E. 6</w:t>
      </w:r>
    </w:p>
    <w:p>
      <w:r>
        <w:t>Die Entscheidgebühr für das Beschwerdeverfahren ist in Anwendung von Art. 48 in Verbindung mit Art. 61 Abs. 1 GebV SchKG und ausgehend von einem</w:t>
      </w:r>
    </w:p>
    <w:p>
      <w:r>
        <w:t>- 7 - Streitwert von Fr. 3'184.20 auf Fr. 300.– festzusetzen. Die Gerichtskosten sind ausgangsgemäss dem Gesuchsgegner aufzuerlegen (Art. 106 Abs. 1 ZPO). Par- teientschädigungen sind im Beschwerdeverfahren keine zuzusprechen, dem Ge- suchsgegner infolge seines Unterliegens, den Gesuchstellern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