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RT230116 vom 31. August 2023</w:t>
      </w:r>
    </w:p>
    <w:p>
      <w:r>
        <w:t>ZH Obergericht, 2023-08-31, DE</w:t>
      </w:r>
    </w:p>
    <w:p>
      <w:r>
        <w:rPr>
          <w:b/>
        </w:rPr>
        <w:t xml:space="preserve">Quelle: </w:t>
      </w:r>
      <w:r>
        <w:t>https://mcp.opencaselaw.ch/entscheid/zh_obergericht_RT230116</w:t>
      </w:r>
    </w:p>
    <w:p>
      <w:r>
        <w:t>FR: ZH_OBERGERICHT RT230116 du 31 août 2023</w:t>
      </w:r>
    </w:p>
    <w:p>
      <w:r>
        <w:t>IT: ZH_OBERGERICHT RT230116 del 31 agosto 2023</w:t>
      </w:r>
    </w:p>
    <w:p>
      <w:pPr>
        <w:pStyle w:val="Heading2"/>
      </w:pPr>
      <w:r>
        <w:t>Erwägungen</w:t>
      </w:r>
    </w:p>
    <w:p>
      <w:r>
        <w:rPr>
          <w:b/>
        </w:rPr>
        <w:t>E. 1</w:t>
      </w:r>
    </w:p>
    <w:p>
      <w:r>
        <w:t>August 2022 sowie Entschädigung gemäss diesem Entscheid (Urk. 7 = Urk. 10). b) Hiergegen erhob der Gesuchsgegner am 19. August 2023 fristgerecht Beschwerde und stellte sinngemäss den Beschwerdeantrag (Urk. 9): Das angefochtene Urteil sei aufzuheben und das Rechtsöffnungsgesuch sei abzuweisen. Dem Gesuchsgegner sei die unentgeltliche Rechtspflege zu ge- währen. c) Die vorinstanzlichen Akten wurden beigezogen (Urk. 1-8). Da sich die Beschwerde sogleich als offensichtlich unbegründet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eine blosse Darstellung der Sach- und Rechtslage aus eigener Sicht genügt nicht. Was nicht rechtsgenügend bean- standet wird, braucht von der Beschwerdeinstanz nicht überprüft zu werden und hat insofern grundsätzlich Bestand. b) Die Vorinstanz erwog im Wesentlichen, die Gesuchstellerin stütze sich auf zwei Urteile des Schweizerischen Bundesgerichts vom 22. April 2022, worin dem Gesuchsgegner die Gerichtskosten von jeweils Fr. 1'500.-- auferlegt worden</w:t>
      </w:r>
    </w:p>
    <w:p>
      <w:r>
        <w:t>- 3 - seien. Diese Urteile seien rechtskräftig und vollstreckbar; sie würden damit defini- tive Rechtsöffnungstitel bilden. Aus den Ausführungen des Gesuchsgegners wür- den sich keine nach Art. 81 Abs. 1 SchKG zulässigen Einwendungen ergeben. Folglich sei der Gesuchstellerin definitive Rechtsöffnung für Fr. 3'000.-- nebst Verzugszinsen zu erteilen (Urk. 10 S. 3 ff.). c) Die Beschwerdevorbringen des Gesuchsgegners sind weitgehend un- verständlich. Abgesehen davon, dass das angefochtene Urteil und Forderungen daraus "vollumfänglich ins Leere" laufen würden, bleibt völlig unklar, welchen Zu- sammenhang (und welche Relevanz) die Vorbringen über eine "mutmassliche Erbmasse", eine Verfügung vom 23. November 2015 (Urk. 6/1 = Urk. 11), die Er- bengemeinschaft (wohl) im Nachlass der Mutter, einen Mangel an Steuernach- weisen der Erblasserin etc. mit den vorliegenden, durch das Bundesgericht ab- schliessend entschiedenen Forderungen (Gerichtskosten) von zwei mal Fr. 1'500.-- (Urk. 2/1 und 2/2) haben sollen (vgl. Urk. 9). Soweit der Gesuchsgeg- ner damit geltend machen wollte, dass er kein Geld zur Zahlung dieser Forderun- gen habe (und sie aus diesem Grund ins Leere laufen würden), wäre dem entge- genzuhalten, dass dies im Rechtsöffnungsverfahren nicht berücksichtigt werden kann, sondern erst im Rahmen des Pfändungsvollzugs vom Betreibungsamt zu prüfen sein wird (Art. 92 und 93 SchKG). Die vorinstanzlichen Erwägungen wer- den in der Beschwerde jedenfalls nicht beanstandet, womit es bei diesen und der damit begründeten Rechtsöffnung bleibt. d) Nach dem Gesagten erweist sich die Beschwerde als unbegründet. Sie ist demgemäss abzuweisen.</w:t>
      </w:r>
    </w:p>
    <w:p>
      <w:r>
        <w:rPr>
          <w:b/>
        </w:rPr>
        <w:t>E. 3</w:t>
      </w:r>
    </w:p>
    <w:p>
      <w:r>
        <w:t>a) Für das Beschwerdeverfahren beträgt der Streitwert Fr. 3'000.--. Die zweitinstanzliche Entscheidgebühr ist in Anwendung von Art. 48 i.V.m. Art. 61 Abs. 1 GebV SchKG auf Fr. 250.-- festzusetzen. b) Die Gerichtskosten des Beschwerdeverfahrens sind ausgangsgemäss dem Gesuchsgegner aufzuerlegen (Art. 106 Abs. 1 ZPO).</w:t>
      </w:r>
    </w:p>
    <w:p>
      <w:r>
        <w:t>- 4 - c) Der Gesuchsgegner hat ein Gesuch um unentgeltliche Rechtspflege für das Beschwerdeverfahren gestellt (Urk. 9). Ein Anspruch auf unentgeltliche Rechtspflege setzt neben der Mittellosigkeit auch voraus, dass die Rechtsbegeh- ren nicht aussichtslos erscheinen (Art. 117 lit. b ZPO). Die Beschwerde ist jedoch als aussichtslos anzusehen (vgl. vorstehende Erwägungen), weshalb das Gesuch um unentgeltliche Rechtspflege abzuweisen ist. d)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