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RT230108 vom 9. August 2023</w:t>
      </w:r>
    </w:p>
    <w:p>
      <w:r>
        <w:t>ZH Obergericht, 2023-08-09, DE</w:t>
      </w:r>
    </w:p>
    <w:p>
      <w:r>
        <w:rPr>
          <w:b/>
        </w:rPr>
        <w:t xml:space="preserve">Quelle: </w:t>
      </w:r>
      <w:r>
        <w:t>https://mcp.opencaselaw.ch/entscheid/zh_obergericht_RT230108</w:t>
      </w:r>
    </w:p>
    <w:p>
      <w:r>
        <w:t>FR: ZH_OBERGERICHT RT230108 du 9 août 2023</w:t>
      </w:r>
    </w:p>
    <w:p>
      <w:r>
        <w:t>IT: ZH_OBERGERICHT RT230108 del 9 agosto 2023</w:t>
      </w:r>
    </w:p>
    <w:p>
      <w:pPr>
        <w:pStyle w:val="Heading2"/>
      </w:pPr>
      <w:r>
        <w:t>Erwägungen</w:t>
      </w:r>
    </w:p>
    <w:p>
      <w:r>
        <w:rPr>
          <w:b/>
        </w:rPr>
        <w:t>E. 1</w:t>
      </w:r>
    </w:p>
    <w:p>
      <w:r>
        <w:t>a) Die Parteien stehen vor Erstinstanz in einem Rechtsöffnungsverfahren. Mit Verfügung vom 10. Juli 2023 wurde der Gesuchstellerin und Beschwerdegeg- nerin (fortan Gesuchstellerin) eine Frist von sieben Tagen angesetzt, um für die Gerichtskosten bei der Bezirksgerichtskasse Meilen in Anwendung von Art. 98 ZPO einen Kostenvorschuss von Fr. 500.– zu leisten (Urk. 2 S. 3 Dispositivzif- fer 2). Zudem verfügte die Vorinstanz, dass das Rechtsöffnungsverfahren schrift- lich durchgeführt werde (Urk. 2 S. 3 Dispositivziffer 1). Sie setzte dem Gesuchs- gegner und Beschwerdeführer (fortan Gesuchsgegner) sodann eine Frist von vierzehn Tagen an, um eine schriftliche Stellungnahme zum Rechtsöffnungsbe- gehren der Gesuchstellerin einzureichen (Urk. 2 S. 3 Dispositivziffer 3). b) Mit Eingabe vom 26. Juli 2023 (gleichentags der Post übergeben) erhob der Gesuchsgegner gegen obgenannte Verfügung innert Frist explizit Beschwer- de mit dem Antrag, ihm sei zu gestatten, ab September die von der Gesuchstelle- rin geforderte Summe in Raten zu monatlich Fr. 500.– abzuzahlen (Urk. 1).</w:t>
      </w:r>
    </w:p>
    <w:p>
      <w:r>
        <w:rPr>
          <w:b/>
        </w:rPr>
        <w:t>E. 2</w:t>
      </w:r>
    </w:p>
    <w:p>
      <w:r>
        <w:t>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 (Reetz, in: Sutter-Somm/Hasenböhler/Leuenberger, ZPO Komm., Vorbemerkun- gen zu den Art. 308-318 N 30 m.w.H.). b) Der Gesuchsgegner wurde durch die Dispositivziffer 2 der angefochtenen Verfügung zu nichts verpflichtet, da nicht er, sondern die Gesuchstellerin den Kostenvorschuss von Fr. 500.– zu leisten hat. Ihm ist deshalb diesbezüglich kein Nachteil entstanden. Da der Gesuchsgegner seine schriftliche Eingabe vom 26. Juli 2023 an das Obergericht sodann auch als "Stellungnahme zum Rechtseröffnungsbegehren"</w:t>
      </w:r>
    </w:p>
    <w:p>
      <w:r>
        <w:t>- 3 - betitelte und sich darin zudem nicht darüber beschwerte, dass er sich innert der Frist von vierzehn Tagen schriftlich zum Rechtsöffnungsbegehren der Gesuch- stellerin zu äussern hat, entstehen ihm durch die Dispositivziffern 1 und 3 der an- gefochtenen Verfügung keine (nicht leicht wiedergutzumachende [Art. 319 lit. b Ziff. 2 ZPO]) Nachteile. Auf die Beschwerde des Gesuchsgegners ist demnach nicht einzutreten. c) Eine Kopie der Eingabe des Gesuchsgegners vom 26. Juli 2023 ist zu- ständigkeitshalber an die Vorinstanz weiterzuleiten.</w:t>
      </w:r>
    </w:p>
    <w:p>
      <w:r>
        <w:rPr>
          <w:b/>
        </w:rPr>
        <w:t>E. 3</w:t>
      </w:r>
    </w:p>
    <w:p>
      <w:r>
        <w:t>Es rechtfertigt sich, für das Beschwerdeverfahren umständehalber auf Kostenerhebung zu verzichten. Dem Gesuchsgegner ist zufolge seines Unterlie- gens (vgl. Art. 106 Abs. 1 ZPO) und der Gesuchstellerin mangels wesentlicher Umtriebe (vgl. Art. 95 Abs. 3 ZPO) für das Beschwerdeverfahren keine Entschä- 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