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RT230106 vom 8. August 2023</w:t>
      </w:r>
    </w:p>
    <w:p>
      <w:r>
        <w:t>ZH Obergericht, 2023-08-08, DE</w:t>
      </w:r>
    </w:p>
    <w:p>
      <w:r>
        <w:rPr>
          <w:b/>
        </w:rPr>
        <w:t xml:space="preserve">Quelle: </w:t>
      </w:r>
      <w:r>
        <w:t>https://mcp.opencaselaw.ch/entscheid/zh_obergericht_RT230106</w:t>
      </w:r>
    </w:p>
    <w:p>
      <w:r>
        <w:t>FR: ZH_OBERGERICHT RT230106 du 8 août 2023</w:t>
      </w:r>
    </w:p>
    <w:p>
      <w:r>
        <w:t>IT: ZH_OBERGERICHT RT230106 del 8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Eingabe vom 1. Juni 2023 stellte der Gesuchsteller und Beschwer- degegner (fortan Gesuchsteller) bei der Vorinstanz das Begehren, es sei ihm in der Betreibung Nr. … des Regionalen Betreibungsamtes Oberentfelden (Zah- lungsbefehl vom 2. März 2023) definitive Rechtsöffnung zu erteilen für den Betrag von Fr. 235.–, für Betreibungskosten von Fr. 73.10 sowie für Zahlungsbefehlskos- ten von Fr. 33.30, unter Kosten- und Entschädigungsfolgen zulasten der Ge- suchsgegnerin und Beschwerdeführerin (fortan Gesuchsgegnerin; Urk. 2 S. 2 E. 1). Mit Verfügung vom 14. Juni 2023 trat die Vorinstanz auf das Rechtsöff- nungsbegehren in der genannten Betreibung mangels örtlicher Zuständigkeit nicht ein und auferlegte dem Gesuchsteller die Entscheidgebühr von Fr. 100.– (Urk. 2 S. 2 f. E. 2.3 und 4 sowie S. 3 Dispositivziffern 1-3). b) Mit Eingabe vom 22. Juli 2023 (am 25. Juli 2023 der Post übergeben) er- hob die Gesuchsgegnerin gegen obgenannte Verfügung innert Frist Beschwerde mit dem sinngemässen Antrag, es sei die Rechtsöffnung abzuweisen, unter Kos- tenfolgen zulasten des Gesuchstellers. Der Gesuchsteller sei zudem zu verpflich- ten, ihr den Fahrzeugausweis zurückzugeben (Urk. 1).</w:t>
      </w:r>
    </w:p>
    <w:p>
      <w:r>
        <w:rPr>
          <w:b/>
        </w:rPr>
        <w:t>E. 2</w:t>
      </w:r>
    </w:p>
    <w:p>
      <w:r>
        <w:t>Im Rechtsmittelverfahren ist einzig das Dispositiv eines Entscheides an- fechtbar; lediglich dieses ist der formellen und materiellen Rechtskraft zugänglich (BGE 140 I 114 E. 2.4.2 m.w.H.). Dies schliesst es aus, im Rechtsmittelverfahren Anträge in der Sache zu stellen, welche sich nicht auf das Dispositiv des ange- fochtenen Entscheids beziehen. Im vorliegenden Beschwerdeverfahren ist dem- nach auf den Antrag der Gesuchsgegnerin, der Gesuchsteller habe ihr den Fahr- zeugausweis zurückzugeben, nicht einzutreten, da im Dispositiv der angefochte- nen Verfügung einzig auf das Rechtsöffnungsbegehren in der Betreibung Nr. … des Regionalen Betreibungsamtes Oberentfelden nicht eingetreten wurde.</w:t>
      </w:r>
    </w:p>
    <w:p>
      <w:r>
        <w:rPr>
          <w:b/>
        </w:rPr>
        <w:t>E. 3</w:t>
      </w:r>
    </w:p>
    <w:p>
      <w:r>
        <w:t>a) Die Beschwer ist Zulässigkeitsvoraussetzung jedes Rechtsmittels. Das Erfordernis der Beschwer hat die Wirkung, dass nur derjenige zur Erhebung eines</w:t>
      </w:r>
    </w:p>
    <w:p>
      <w:r>
        <w:t>- 3 - Rechtsmittels befugt ist, welcher ein (von der Rechtsordnung geschütztes, d.h. ein schutzwürdiges) Interesse (tatsächlicher oder rechtlicher Natur) an der Abän- derung eines erstinstanzlichen Entscheids besitzt. Fehlt es an der von Amtes we- gen zu prüfenden Beschwer, ist auf das erhobene Rechtsmittel nicht einzutreten (Reetz, in: Sutter-Somm/Hasenböhler/Leuenberger, ZPO Komm., Vorbemerkun- gen zu den Art. 308-318 N 30 m.w.H.). b) Die Gesuchsgegnerin wurde durch die angefochtene Verfügung zu nichts verpflichtet, da weder die Rechtsöffnung erteilt wurde noch sie die erstinstanzli- chen Gerichtskosten zu tragen hat. Ihr ist deshalb durch die angefochtene Verfü- gung kein Nachteil entstanden. Auf die Beschwerde der Gesuchsgegnerin ist demnach mangels Beschwer nicht einzutreten. Es kann daher ausnahmsweise davon abgesehen werden, der Gesuchsgegnerin Frist zur Verbesserung der fran- zösischsprachigen Beschwerdeschrift anzusetzen (vgl. Art. 129 ZPO und Art. 132 Abs. 2 ZPO; CHK-Sutter-Somm/Seiler ZPO 132 N 7 m.w.H.).</w:t>
      </w:r>
    </w:p>
    <w:p>
      <w:r>
        <w:rPr>
          <w:b/>
        </w:rPr>
        <w:t>E. 4</w:t>
      </w:r>
    </w:p>
    <w:p>
      <w:r>
        <w:t>Es rechtfertigt sich, für das Beschwerdeverfahren umständehalber auf Kostenerhebung zu verzichten. Der Gesuchsgegnerin ist zufolge ihres Unterlie- gens (vgl. Art. 106 Abs. 1 ZPO) und dem Gesuchsteller mangels wesentlicher Umtriebe (vgl. Art. 95 Abs. 3 ZPO) für das Beschwerdeverfahren keine Entschä- 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