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RT230104 vom 26. Juli 2023</w:t>
      </w:r>
    </w:p>
    <w:p>
      <w:r>
        <w:t>ZH Obergericht, 2023-07-26, DE</w:t>
      </w:r>
    </w:p>
    <w:p>
      <w:r>
        <w:rPr>
          <w:b/>
        </w:rPr>
        <w:t xml:space="preserve">Quelle: </w:t>
      </w:r>
      <w:r>
        <w:t>https://mcp.opencaselaw.ch/entscheid/zh_obergericht_RT230104</w:t>
      </w:r>
    </w:p>
    <w:p>
      <w:r>
        <w:t>FR: ZH_OBERGERICHT RT230104 du 26 juillet 2023</w:t>
      </w:r>
    </w:p>
    <w:p>
      <w:r>
        <w:t>IT: ZH_OBERGERICHT RT230104 del 26 luglio 2023</w:t>
      </w:r>
    </w:p>
    <w:p>
      <w:pPr>
        <w:pStyle w:val="Heading2"/>
      </w:pPr>
      <w:r>
        <w:t>Erwägungen</w:t>
      </w:r>
    </w:p>
    <w:p>
      <w:r>
        <w:rPr>
          <w:b/>
        </w:rPr>
        <w:t>E. 1</w:t>
      </w:r>
    </w:p>
    <w:p>
      <w:r>
        <w:t>a) Mit Urteil vom 5. Juli 2023 erteilte das Bezirksgericht Winterthur (Vorinstanz) den Gesuchstellern in der Betreibung Nr. 1 des Betreibungsamts Winterthur-Stadt (Zahlungsbefehl vom 9. Mai 2023) – für Steuerforderungen 2001 – definitive Rechtsöffnung für Fr. 13'158.05, Fr. 1'200.--, Fr. 796.55 (aufge- laufener Verzugszins), Fr. 760.20 (Kosten gemäss Verlustschein) sowie Kosten und Entschädigung gemäss diesem Urteil (Urk. 7 = Urk. 12). b) Hiergegen erhob der Gesuchsgegner am 20. Juli 2023 fristgerecht (vgl. Art. 56 und 63 SchKG; Art. 321 Abs. 2 ZPO) Beschwerde und stellte sinngemäss den Beschwerdeantrag (Urk. 11): Das angefochtene Urteil sei aufzuheben und das Rechtsöffnungsgesuch sei abzuweisen. c) Die vorinstanzlichen Akten wurden beigezogen (Urk. 1-10). Da sich die Beschwerde sogleich als unbegründet erweist, kann auf weitere Prozesshandlun- 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eine blosse Darstellung der Sach- und Rechtslage aus eigener Sicht genügt nicht. Was nicht rechtsgenügend bean- standet wird, braucht von der Beschwerdeinstanz nicht überprüft zu werden und hat insofern grundsätzlich Bestand. Sodann sind im Beschwerdeverfahren neue Anträge, neue Tatsachenbehauptungen und neue Beweismittel ausgeschlossen (Art. 326 Abs. 1 ZPO); was im erstinstanzlichen Verfahren nicht (rechtzeitig) vor- getragen wurde, kann im Beschwerdeverfahren grundsätzlich nicht mehr geltend gemacht bzw. nachgeholt werden.</w:t>
      </w:r>
    </w:p>
    <w:p>
      <w:r>
        <w:t>- 3 - b) Die Vorinstanz erwog im Wesentlichen, die Gesuchsteller würden sich auf die Veranlagungsverfügung vom 25. September 2002 und die Schlussrech- nung vom 15. November 2002 betreffend Staats- und Gemeindesteuern 2001 sowie die Bussenverfügung vom 25. September 2002 betreffend versäumte Steu- ererklärung 2001 stützen; diese seien rechtskräftig und vollstreckbar. Die Ge- suchsteller würden Rechtsöffnung für den gemäss Verlustschein vom 12. August 2004 ungedeckt gebliebenen Gesamtbetrag von Fr. 15'914.80 verlangen. Davon seien Fr. 13'158.05 durch die Veranlagungsverfügung und die Schlussrechnung und Fr. 1'200.-- durch die Bussenverfügung ausgewiesen. Die im eingereichten Verlustschein ausgewiesenen Kosten von insgesamt Fr. 760.20 würden praxis- gemäss ebenfalls als ausgewiesen gelten, ebenso der aufgelaufene Verzugszins von Fr. 796.55 (Urk. 12 Erwägung 2). Der Gesuchsgegner wende ein, dass er be- reits seit 1997 beim Steueramt Winterthur angemeldet und seither nicht mehr in C._____ geschäftlich aktiv gewesen sei; es sei für ihn unerklärlich, weshalb das Steueramt C._____ immer noch auf ihn zukomme. Sofern der Gesuchsgegner damit der Ansicht sei, die Verfügungen seien fehlerhaft, hätte er gegen diese Ein- sprache erheben müssen, was er aber unterlassen habe. Im Übrigen erhebe der Gesuchsgegner keine nach Art. 81 Abs. 1 SchKG zulässigen Einwendungen (Urk. 12 Erw. 3). c) Der Gesuchsgegner macht in seiner Beschwerde im Wesentlichen gel- tend, wie geschrieben sei er seit Dezember 1996 nicht mehr in C._____ tätig und habe sich beim Steueramt C._____ per 30. Dezember 1996 abgemeldet. Es be- stehe die Möglichkeit einer Verwechslung, denn in C._____ wohne eine Person mit gleichem Vor- und Familiennamen wie der Gesuchsgegner, aber anderem Geburtsdatum; es hätten sich deshalb schon verschiedentlich Verwechslungen ereignet. Er (der Gesuchsgegner) lebe seit 1979 in der Schweiz und sei immer in Winterthur wohnhaft gewesen. Beim Urteil vom 7. Mai 2003 sei er im Spital Brun- wald gewesen und habe deshalb keine Post empfangen können (Urk. 11). d) Die Vorbringen, dass in C._____ eine gleichnamige Person lebe und dass der Gesuchsgegner mit dieser schon verschiedentlich verwechselt worden sei, sind neu (wurden im vorinstanzlichen Verfahren nicht vorgebracht; Urk. 5) und können daher im Beschwerdeverfahren nicht berücksichtigt werden (Art. 326</w:t>
      </w:r>
    </w:p>
    <w:p>
      <w:r>
        <w:t>- 4 - ZPO, oben Erw. 2.a). Sie gehen aber ohnehin ins Leere, denn die Veranlagungs- verfü-gung, die Schlussrechnung und die Bussenverfügung lauten alle auf den Gesuchsgegner mit einer Adresse in Winterthur; auf der Schlussrechnung ist so- dann die von ihm angegebene AHV-Nummer (Urk. 11 unten) aufgeführt (vgl. Urk. 2/9) und auf dieser wie auch auf der Veranlagungs- und der Bussenverfü- gung findet sich die gleiche Register-Nummer (vgl. Urk. 2/7-9). Der Gesuchsgeg- ner ist damit die mit diesen Verfügungen verpflichtete Person. Ob die Verpflich- tung inhaltlich korrekt ist, kann dagegen im Verfahren auf definitive Rechtsöffnung nicht überprüft werden. Eine solche Prüfung hätte – wie die Vorinstanz korrekt dargelegt hat (Urk. 12 Erw. 3.2) – in einem entsprechenden Rechtsmittelverfahren erfolgen können und müssen. Im Rechtsöffnungsverfahren dürfen dagegen rechtskräftige Entscheide inhaltlich nicht mehr überprüft werden. Das Beschwer- devorbringen, der Gesuchsgegner habe das erste Urteil vom 7. Mai 2003 (ge- meint wohl: Urk. 2/3) zufolge Spitalaufenthalts nicht entgegennehmen können, ist für das vorliegende Verfahren nicht relevant, da es nicht um die Vollstreckung je- nes Urteils geht. e) Nach dem Gesagten erweist sich die Beschwerde als unbegründet. Sie ist demgemäss abzuweisen.</w:t>
      </w:r>
    </w:p>
    <w:p>
      <w:r>
        <w:rPr>
          <w:b/>
        </w:rPr>
        <w:t>E. 3</w:t>
      </w:r>
    </w:p>
    <w:p>
      <w:r>
        <w:t>a) Für das Beschwerdeverfahren beträgt der Streitwert Fr. 15'914.80. Die zweitinstanzliche Entscheidgebühr ist in Anwendung von Art. 48 i.V.m. Art. 61 Abs. 1 GebV SchKG auf Fr. 400.-- festzusetzen. b) Die Gerichtskosten des Beschwerdeverfahrens sind ausgangsgemäss dem Gesuchsgegner aufzuerlegen (Art. 106 Abs. 1 ZPO). c) Für das Beschwerdeverfahren sind keine Parteientschädigungen zuzu- sprechen, dem Gesuchsgegner zufolge seines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