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RT230098 vom 1. September 2023</w:t>
      </w:r>
    </w:p>
    <w:p>
      <w:r>
        <w:t>ZH Obergericht, 2023-09-01, DE</w:t>
      </w:r>
    </w:p>
    <w:p>
      <w:r>
        <w:rPr>
          <w:b/>
        </w:rPr>
        <w:t xml:space="preserve">Quelle: </w:t>
      </w:r>
      <w:r>
        <w:t>https://mcp.opencaselaw.ch/entscheid/zh_obergericht_RT230098</w:t>
      </w:r>
    </w:p>
    <w:p>
      <w:r>
        <w:t>FR: ZH_OBERGERICHT RT230098 du 1 septembre 2023</w:t>
      </w:r>
    </w:p>
    <w:p>
      <w:r>
        <w:t>IT: ZH_OBERGERICHT RT230098 del 1 settembre 2023</w:t>
      </w:r>
    </w:p>
    <w:p>
      <w:pPr>
        <w:pStyle w:val="Heading2"/>
      </w:pPr>
      <w:r>
        <w:t>Erwägungen</w:t>
      </w:r>
    </w:p>
    <w:p>
      <w:r>
        <w:rPr>
          <w:b/>
        </w:rPr>
        <w:t>E. 2</w:t>
      </w:r>
    </w:p>
    <w:p>
      <w:r>
        <w:t>Das Gesuch um unentgeltliche Rechtspflege sei mir zu gewähren und ein Anwalt mir zuzuweisen.</w:t>
      </w:r>
    </w:p>
    <w:p>
      <w:r>
        <w:rPr>
          <w:b/>
        </w:rPr>
        <w:t>E. 3</w:t>
      </w:r>
    </w:p>
    <w:p>
      <w:r>
        <w:t>Der Gesuchsgegner rügt, die vorinstanzlichen Erwägungen seien wie die Berechnung der Steuerveranlagung willkürlich formuliert und fern von Treu und Glauben. Die Vorinstanz stütze sich auf den Zirkulus vitiosus einer – durch Fake-Dokumente (Urk. 2/4 und Urk. 2/7) – von Bürolistinnen als rechtskräftige behördliche Verfügung erklärte Steuerrechnung. Hinter diesen stehe eine willkür- liche und niederträchtige Veranlagung, gegen welche er sich als Mittelloser beim teuren Steuerrekursgericht nicht wehren könne. Ihm werde für die Abwehr der Rechtsvorschlag sowie die unentgeltliche Rechtspflege verweigert, da er ein "aussichtsloser Loser" sei. Dabei habe der Gesetzgeber mit dem SchKG aus- drücklich zu verhindern versucht, dass Bürger, die selbstständig (noch) arbeiten müssten, nicht durch Steuern und andere Abgaben an die Behörden in ihrer Tä- tigkeit blockiert oder gar in den Konkurs getrieben werden könnten. Diesem Grundsatz widerspreche seine Besteuerung der letzten 15 Jahre, was katastro- phale Auswirkungen auf seine Projekte habe. Er habe versucht, einen Überblick über die Vorgänge zu schaffen und in einer Klage zusammenzufassen (Urk. 20 S. 1 f.).</w:t>
      </w:r>
    </w:p>
    <w:p>
      <w:r>
        <w:rPr>
          <w:b/>
        </w:rPr>
        <w:t>E. 4</w:t>
      </w:r>
    </w:p>
    <w:p>
      <w:r>
        <w:t>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(Frei- burghaus/Afheldt, in: Sutter-Somm/Hasenböhler/Leuenberger, ZPO Komm., Art. 321 Rz. 15; BGE 138 III 374, E. 4.3.1 S. 375).</w:t>
      </w:r>
    </w:p>
    <w:p>
      <w:r>
        <w:t>- 4 - 5.1. Der Gesuchsgegner bringt verschiedene Rügen vor, welche sich je- doch allesamt als unbegründet erweisen. Er behauptet, dass es sich bei den ein- gereichten Unterlagen um gefälschte Dokumente handelt (Urk. 20 S. 1), bringt je- doch keinerlei Anhaltspunkte hierfür vor und solche sind auch nicht ersichtlich. Vielmehr beanstandet er gerade die Steuerveranlagung an sich. Mit dem Ein- wand, dass diese willkürlich und niederträchtig sei, ist er nicht zu hören, da im Rechtsöffnungsverfahren materielle Rügen gegen den Rechtsöffnungstitel selbst nicht mehr geprüft werden, worauf bereits die Vorinstanz zutreffend hingewiesen hat (Urk. 21 S. 4). Inhaltliche Rügen, welche sich gegen die Berechnung der Steuerforderung richten, hätten in einem Rechtsmittelverfahren gegen den Ein- schätzungsentscheid bzw. die Schlussrechnung vorgebracht werden müssen. 5.2. Auch die übrigen Rügen erweisen sich als unbegründet. Da eine Be- treibung voraussetzungslos eingeleitet werden kann, wird dem Schuldner mit dem Rechtsvorschlag die Möglichkeit eingeräumt, die Betreibung auch gleichermassen einfach zum Stillstand zu bringen. Beim Rechtsvorschlag handelt es sich grund- sätzlich aber nicht um eine Möglichkeit, um eine Forderung definitiv abzuwehren. Wenn der Gläubiger – wie im vorliegenden Fall – im Rechtsöffnungsverfahren nachweisen kann, dass er über einen definitiven Rechtsöffnungstitel verfügt, und keine Einwendungen gemäss Art. 81 Abs. 1 SchKG erhoben werden, wird der Rechtsvorschlag beseitigt. Dass dem Gesuchsgegner der Rechtsvorschlag ver- wehrt wird, trifft daher nicht zu. 5.3. Die Betreibung wird nach Erteilung der Rechtsöffnung in den in Art. 39 Abs. 1 SchKG aufgelisteten Fällen als Konkursbetreibung fortgesetzt, worüber das Betreibungsamt zu entscheiden hat (Art. 38 Abs. 3 SchKG). Die Konkursbe- treibung ist jedoch u.a. ausgeschlossen für Steuern (Art. 43 Ziff. 1 SchKG), wie der Gesuchsgegner zutreffend feststellt (Urk. 20 S. 2). Dies bedeutet jedoch nicht, dass die Betreibung nicht möglich ist, sondern diese muss lediglich auf dem We- ge der Pfändung fortgesetzt werden. Im vorliegenden Fall stellt sich die Frage der Fortsetzung der Betreibung jedoch (noch) nicht, weshalb sich dieser Einwand als unbe- helflich erweist.</w:t>
      </w:r>
    </w:p>
    <w:p>
      <w:r>
        <w:t>- 5 - 5.4. Nach dem Dargelegten hat die Vorinstanz zu Recht erwogen, dass der Gesuchsgegner keine der gemäss Art. 81 Abs. 1 SchKG zulässigen Einwendun- gen (Tilgung, Stundung, Verjährung) angerufen hat und sein Begehren daher aussichtslos war. Auch die Verweigerung der unentgeltlichen Rechtspflege erfolg- te daher zu Recht. Das Gericht war infolge dessen nicht gehalten, dem Gesuchs- gegner einen Rechtsbeistand zu organisieren (vgl. Geschäfts-Nr. RT230099-O). Daher ist auch das Begehren des Gesuchsgegners abzuweisen, dass seine von einem Anwalt verbesserte Klage zu behandeln und eine Anhörung mit seinem Anwalt durchzuführen sei. 6.1. Für das Beschwerdeverfahren beträgt der Streitwert Fr. 2'709.05. Die zweitinstanzliche Entscheidgebühr ist in Anwendung von Art. 48 i.V.m. Art. 61 Abs. 1 GebV SchKG auf Fr. 300.– festzusetzen und ausgangsgemäss dem Ge- suchsgegner aufzuerlegen (Art. 106 Abs. 1 ZPO). Parteientschädigungen sind keine zuzusprechen, da der Gesuchsgegner unterliegt und den Gesuchstellern keine Aufwendungen entstanden sind (Art. 106 Abs. 1, Art. 95 Abs. 3 ZPO). 6.2. Eine Partei hat Anspruch auf unentgeltliche Rechtspflege, wenn sie (kumulativ) nicht über die erforderlichen Mittel verfügt und ihr Rechtsbegehren nicht aussichtslos erscheint (Art. 117 ZPO). Ob der Gesuchsgegner auch ein Ge- such um unentgeltliche Rechtspflege für das Beschwerdeverfahren gestellt hat oder ob er diese unentgeltliche Rechtspflege nur für das erstinstanzliche Verfah- ren beantragt, ist unklar. Die Beschwerde war indes ohnehin, wie oben aufge- zeigt, von vornherein aussichtslos, weshalb ihm die unentgeltliche Rechtspflege für das Beschwerdeverfahren ohnehin nicht gewährt werden könnte.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