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RT230085 vom 2. August 2023</w:t>
      </w:r>
    </w:p>
    <w:p>
      <w:r>
        <w:t>ZH Obergericht, 2023-08-02, DE</w:t>
      </w:r>
    </w:p>
    <w:p>
      <w:r>
        <w:rPr>
          <w:b/>
        </w:rPr>
        <w:t xml:space="preserve">Quelle: </w:t>
      </w:r>
      <w:r>
        <w:t>https://mcp.opencaselaw.ch/entscheid/zh_obergericht_RT230085</w:t>
      </w:r>
    </w:p>
    <w:p>
      <w:r>
        <w:t>FR: ZH_OBERGERICHT RT230085 du 2 août 2023</w:t>
      </w:r>
    </w:p>
    <w:p>
      <w:r>
        <w:t>IT: ZH_OBERGERICHT RT230085 del 2 agosto 2023</w:t>
      </w:r>
    </w:p>
    <w:p>
      <w:pPr>
        <w:pStyle w:val="Heading2"/>
      </w:pPr>
      <w:r>
        <w:t>Erwägungen</w:t>
      </w:r>
    </w:p>
    <w:p>
      <w:r>
        <w:rPr>
          <w:b/>
        </w:rPr>
        <w:t>E. 2</w:t>
      </w:r>
    </w:p>
    <w:p>
      <w:r>
        <w:t>Die Vorinstanz erwog zusammengefasst, mit der rechtskräftigen Verfü- gung des Sozialvorstandes der Gemeinde B._____ vom 19. Februar 2015 liege ein definitiver Rechtsöffnungstitel vor (Urk. 16 S. 3). Nach Art. 81 Abs. 1 SchKG könne der Betriebene gegen die Erteilung der definitiven Rechtsöffnung durch Ur- kunden die Tilgung, Stundung oder Verjährung der Schuld geltend machen. Vor- liegend reiche der Gesuchsgegner keinerlei Dokumente ein, welche eine allfällige Stundung der Forderung nachweisen könnten, und der Einwand sei damit unbe- achtlich. Im Übrigen sei der Gesuchsgegner darauf hinzuweisen, dass es sich bei</w:t>
      </w:r>
    </w:p>
    <w:p>
      <w:r>
        <w:t>- 3 - Geldschulden um Bringschulden im Sinne von Art. 74 Abs. 2 Ziff. 1 OR handle. Dass der Gesuchsgegner gemäss seinen Angaben angeblich keinen QR-Code gehabt habe, könne der Gesuchstellerin demnach nicht zum Nachteil gereichen. Der Gesuchsgegner habe zudem vorgebracht, dass er arbeitslos sei. Einwendun- gen, welche die finanzielle Leistungsfähigkeit beträfen, vermöchten den Rechts- öffnungstitel im Sinne von Art. 81 SchKG nicht zu entkräften vermögen. Im Rah- men der Fortsetzung der Betreibung werde es vielmehr Aufgabe des Betrei- bungsamtes sein, zu klären, zu welchen Zahlungen der Gesuchsgegner in der Lage sei. Weitere nach Art. 81 SchKG zulässige Einreden habe der Gesuchsgeg- ner nicht geltend gemacht (Urk. 16 S. 5).</w:t>
      </w:r>
    </w:p>
    <w:p>
      <w:r>
        <w:rPr>
          <w:b/>
        </w:rPr>
        <w:t>E. 3</w:t>
      </w:r>
    </w:p>
    <w:p>
      <w:r>
        <w:t>Der Gesuchsgegner rügt, er bezahle seit Jahren regelmässig Fr. 50.– pro Monat. Er könne die von der Gesuchstellerin geforderte gesamte Summe von Fr. 5'000.– nicht auf einmal bezahlen. Er habe regelmässig bezahlt, bis die Bank die Zahlungsmethode geändert habe. Dies sei nicht seine Schuld. Er sei arbeits- suchend, Vater von drei Kindern und seine Frau sei arbeitslos, weshalb er nicht bezahlen könne. Er bitte um Verständnis und lege daher Widerspruch ein. Durch die Inflation sei das Leben sehr teuer geworden und er könne nur Fr. 50.– pro Monat bezahlen, was sie akzeptieren und respektieren müssten. Er bitte um Ver- ständnis für seine Situation, er sei ehrlich und bezahle die Raten, wie es verein- bart worden sei (Urk. 14).</w:t>
      </w:r>
    </w:p>
    <w:p>
      <w:r>
        <w:rPr>
          <w:b/>
        </w:rPr>
        <w:t>E. 4</w:t>
      </w:r>
    </w:p>
    <w:p>
      <w:r>
        <w:t>Nach dem klaren Wortlaut von Art. 81 Abs. 1 SchKG muss die Stun- dung mittels Urkunden bewiesen werden, sofern der Gläubiger den einer solchen Einwendung zugrunde liegenden Sachverhalt nicht ausdrücklich anerkennt (Stü- cheli, Die Rechtsöffnung, Zürich 2000, S. 232; siehe auch BGE 124 III 501 E. 3a = Pra 88 Nr. 137). Die Anerkennung einer Stundungs- bzw. Ratenzahlungsver- einbarung durch die Gesuchstellerin fehlt jedoch und der Gesuchsgegner hat eine solche auch nicht mit einer Urkunde – etwas Schriftlichem – bewiesen. Dass jah- relang Ratenzahlungen in Höhe von Fr. 50.– erfolgt sind (Urk. 2/3), vermag den Nachweis einer Ratenzahlungsvereinbarung nicht zu erbringen. Gemäss unbe- strittener (Urk. 8) Darstellung der Gesuchstellerin hat diese den Gesuchsgegner nämlich mehrfach zur Leistung höherer Beträge aufgefordert (Urk. 1 S. 2). Die</w:t>
      </w:r>
    </w:p>
    <w:p>
      <w:r>
        <w:t>- 4 - vom Gesuchsgegner sinngemäss behauptete Vereinbarung (Urk. 8; Urk. 14) bleibt damit unbewiesen und kann daher nicht zur Abweisung des Rechtsöff- nungsgesuchs führen. Wie die Vorinstanz ebenfalls korrekt festhielt (Urk. 16 S. 5), sind Einwendungen bezüglich der finanziellen Leistungsfähigkeit ebenso nicht zu berücksichtigen. Rechtsöffnung ist auch dann zu erteilen, wenn der Schuldner nicht in der Lage sein sollte, den in Betreibung gesetzten Betrag zu bezahlen. Dass zwischenzeitlich eine oder mehrere Raten nicht bezahlt wurden, weil die Bank die Zahlungsmethode geändert habe, mag zwar sein. Dies ändert jedoch nichts daran, dass (mangels Stundungsvereinbarung) ohnehin der gesamte Be- trag fällig ist. Damit erweisen sich die Rügen des Beklagten gesamthaft als unbe- gründet und die Beschwerde ist abzuweisen.</w:t>
      </w:r>
    </w:p>
    <w:p>
      <w:r>
        <w:rPr>
          <w:b/>
        </w:rPr>
        <w:t>E. 5</w:t>
      </w:r>
    </w:p>
    <w:p>
      <w:r>
        <w:t>Für das Beschwerdeverfahren beträgt der Streitwert Fr. 3'942.–. Die zweitinstanzliche Entscheidgebühr ist in Anwendung von Art. 48 i.V.m. Art. 61 Abs. 1 GebV SchKG auf Fr. 250.– festzusetzen und ausgangsgemäss dem Ge- suchsgegner aufzuerlegen (Art. 106 Abs. 1 ZPO). Parteientschädigungen sind im Beschwerdeverfahren keine zuzusprechen, da der Gesuchsgegner unterliegt und der Gesuchstellerin keine Aufwendungen entstanden sind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