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RT230075 vom 14. Juni 2023</w:t>
      </w:r>
    </w:p>
    <w:p>
      <w:r>
        <w:t>ZH Obergericht, 2023-06-14, DE</w:t>
      </w:r>
    </w:p>
    <w:p>
      <w:r>
        <w:rPr>
          <w:b/>
        </w:rPr>
        <w:t xml:space="preserve">Quelle: </w:t>
      </w:r>
      <w:r>
        <w:t>https://mcp.opencaselaw.ch/entscheid/zh_obergericht_RT230075</w:t>
      </w:r>
    </w:p>
    <w:p>
      <w:r>
        <w:t>FR: ZH_OBERGERICHT RT230075 du 14 juin 2023</w:t>
      </w:r>
    </w:p>
    <w:p>
      <w:r>
        <w:t>IT: ZH_OBERGERICHT RT230075 del 14 giugno 2023</w:t>
      </w:r>
    </w:p>
    <w:p>
      <w:pPr>
        <w:pStyle w:val="Heading2"/>
      </w:pPr>
      <w:r>
        <w:t>Erwägungen</w:t>
      </w:r>
    </w:p>
    <w:p>
      <w:r>
        <w:rPr>
          <w:b/>
        </w:rPr>
        <w:t>E. 27</w:t>
      </w:r>
    </w:p>
    <w:p>
      <w:r>
        <w:t>März 2023 (Urk. 5) angesetzter Frist Stellung zum Rechtsöffnungsgesuch. Die Stellungnahme wurde den Gesuchstellern mit Verfügung vom 17. April 2023 zur Kenntnis gebracht (Urk. 9). Mit Eingabe vom 21. April 2023 nahm die Gesuchs- gegnerin Stellung gemäss Verfügung vom 17. April 2023 (Urk. 11). Diese Eingabe leitete die Vorinstanz mit Schreiben vom 24. April 2023 an die Gesuchsteller wei- ter (Urk. 13). Mit Eingabe vom 25. April 2023 nahmen die Gesuchsteller aufforde- rungsgemäss Stellung zur Eingabe der Gegenpartei (Urk. 14). Diese Stellung- nahme wurde der Gesuchsgegnerin mit Verfügung vom 26. April 2023 zur Kennt- nis gebracht (Urk. 16), woraufhin sie mit Eingabe vom 4. Mai 2023 den Rechts- vorschlag im eingangs erwähnten Betreibungsverfahren zurückzog (Urk. 18). Da- raufhin verfügte die Vorinstanz am 22. Mai 2023 wie folgt (Urk. 20 S. 2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