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RT230067 vom 14. Juni 2023</w:t>
      </w:r>
    </w:p>
    <w:p>
      <w:r>
        <w:t>ZH Obergericht, 2023-06-14, DE</w:t>
      </w:r>
    </w:p>
    <w:p>
      <w:r>
        <w:rPr>
          <w:b/>
        </w:rPr>
        <w:t xml:space="preserve">Quelle: </w:t>
      </w:r>
      <w:r>
        <w:t>https://mcp.opencaselaw.ch/entscheid/zh_obergericht_RT230067</w:t>
      </w:r>
    </w:p>
    <w:p>
      <w:r>
        <w:t>FR: ZH_OBERGERICHT RT230067 du 14 juin 2023</w:t>
      </w:r>
    </w:p>
    <w:p>
      <w:r>
        <w:t>IT: ZH_OBERGERICHT RT230067 del 14 giugno 2023</w:t>
      </w:r>
    </w:p>
    <w:p>
      <w:pPr>
        <w:pStyle w:val="Heading2"/>
      </w:pPr>
      <w:r>
        <w:t>Erwägungen</w:t>
      </w:r>
    </w:p>
    <w:p>
      <w:r>
        <w:rPr>
          <w:b/>
        </w:rPr>
        <w:t>E. 1</w:t>
      </w:r>
    </w:p>
    <w:p>
      <w:r>
        <w:t>a) Mit Eingabe vom 26. April 2023 (Poststempel vom 27. April 2023, Urk. 5/4) ersuchte der Gesuchsteller und Beschwerdegegner (fortan Gesuchstel- ler) in der gegen die Gesuchsgegnerin und Beschwerdeführerin (fortan Gesuchs- gegnerin) angehobenen Betreibung Nr. 1 des Betreibungsamtes Meilen- Herrliberg-Erlenbach (Zahlungsbefehl vom 16. November 2022) gestützt auf den Einschätzungsentscheid für die direkte Bundessteuer 2020 vom 10. Juni 2022 um Erteilung der definitiven Rechtsöffnung für Fr. 49'201.60 zuzüglich 4 % Zins ab 9. November 2022, Fr. 23.15 Zinsen, Fr. 619.65 Zins bis 8. November 2022 und Fr. 130.40 Betreibungskosten (Urk. 5/1). b) Mit Verfügung vom 28. April 2023 ordnete die Vorinstanz das schriftli- che Verfahren an und setzte der Gesuchsgegnerin eine letztmalige Frist von 14 Tagen zur Stellungnahme zum Rechtsöffnungsgesuch an (Urk. 5/5 S. 2 f. = Urk. 2 S. 2 f.).</w:t>
      </w:r>
    </w:p>
    <w:p>
      <w:r>
        <w:rPr>
          <w:b/>
        </w:rPr>
        <w:t>E. 2</w:t>
      </w:r>
    </w:p>
    <w:p>
      <w:r>
        <w:t>a) Hiergegen erhob die Gesuchsgegnerin mit Eingabe vom 22. Mai 2023 rechtzeitig (vgl. Art. 321 Abs. 2 ZPO sowie Urk. 5/6) Beschwerde (Urk. 1). b) Die vorinstanzlichen Akten wurden beigezogen (Urk. 5/1-6). Da sich die Beschwerde – wie nachfolgend aufzuzeigen sein wird – sogleich als offensichtlich unzulässig erweist, erübrigt sich das Einholen einer Beschwerdeantwort (Art. 322 Abs. 1 ZPO).</w:t>
      </w:r>
    </w:p>
    <w:p>
      <w:r>
        <w:rPr>
          <w:b/>
        </w:rPr>
        <w:t>E. 3</w:t>
      </w:r>
    </w:p>
    <w:p>
      <w:r>
        <w:t>a) Die angefochtene Verfügung ist prozessleitender Natur. Gegen pro- zessleitende Verfügungen ist die Beschwerde – von den hier nicht einschlägigen, im Gesetz explizit vorgesehenen Fällen (Art. 319 lit. b Ziff. 1 ZPO) abgesehen – nur zulässig, wenn durch sie der beschwerdeführenden Partei ein nicht leicht wie- dergutzumachender Nachteil droht (Art. 319 lit. b Ziff. 2 ZPO). Darauf hat schon die Vorinstanz in ihrer Rechtsmittelbelehrung hingewiesen (Urk. 2 S. 3 Dispositiv- Ziff. 4).</w:t>
      </w:r>
    </w:p>
    <w:p>
      <w:r>
        <w:t>- 3 - b) Die Gesuchsgegnerin bringt in ihrer Beschwerde einzig vor, die in Be- treibung gesetzte Steuerforderung beruhe auf einer willkürlichen und unrealisti- schen Steuereinschätzung und sei in dieser Höhe nicht gerechtfertigt. Das ge- schätzte Einkommen und Vermögen sei nicht vertretbar und "wirklich reine Will- kür" und existenzschädigend (Urk. 1). Damit stellt sich die Gesuchsgegnerin gegen die Erteilung der definitiven Rechtsöffnung, ohne aber aufzuzeigen, inwiefern ihr durch die Anordnung des schriftlichen Verfahrens und/oder die Fristansetzung zur Stellungnahme ein nicht leicht wiedergutzumachender Nachteil droht. Dies ist auch nicht ersichtlich: So besteht zum einen im Verfahren betreffend Erteilung der definitiven Rechtsöff- nung kein Anspruch auf eine mündliche Verhandlung (BGE 141 I 97 E. 5). Zum anderen kann eine allfällige Verletzung des rechtlichen Gehörs (z.B. wenn das Verfahren ohne die Stellungnahme der Gesuchsgegnerin fortgesetzt würde) ohne Weiteres im Rahmen eines Rechtsmittels gegen den Endentscheid beanstandet und gegebenenfalls korrigiert werden (vgl. BGer 5A_307/2011 vom 13. Juli 2011, E. 2; BGE 133 III 629 E. 2.3.1). Entsprechend sind die Voraussetzungen für eine selbständige Anfechtung der Verfügung vom 28. April 2023 nicht erfüllt, weshalb auf die Beschwerde nicht einzutreten ist.</w:t>
      </w:r>
    </w:p>
    <w:p>
      <w:r>
        <w:rPr>
          <w:b/>
        </w:rPr>
        <w:t>E. 4</w:t>
      </w:r>
    </w:p>
    <w:p>
      <w:r>
        <w:t>a) Die Entscheidgebühr für das Beschwerdeverfahren ist in Anwendung von Art. 48 i.V.m. Art. 61 Abs. 1 GebV SchKG auf Fr. 500.– festzusetzen. Die Ge- richtskosten sind ausgangsgemäss der Gesuchsgegnerin aufzuerlegen (Art. 106 Abs. 1 ZPO). b) Für das Beschwerdeverfahren sind keine Parteientschädigungen zuzu- sprechen, der Gesuchsgegnerin zufolge ihres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