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RT230060 vom 1. September 2023</w:t>
      </w:r>
    </w:p>
    <w:p>
      <w:r>
        <w:t>ZH Obergericht, 2023-09-01, DE</w:t>
      </w:r>
    </w:p>
    <w:p>
      <w:r>
        <w:rPr>
          <w:b/>
        </w:rPr>
        <w:t xml:space="preserve">Quelle: </w:t>
      </w:r>
      <w:r>
        <w:t>https://mcp.opencaselaw.ch/entscheid/zh_obergericht_RT230060</w:t>
      </w:r>
    </w:p>
    <w:p>
      <w:r>
        <w:t>FR: ZH_OBERGERICHT RT230060 du 1 septembre 2023</w:t>
      </w:r>
    </w:p>
    <w:p>
      <w:r>
        <w:t>IT: ZH_OBERGERICHT RT230060 del 1 settembre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vom 25. April 2023 wies die Vorinstanz das Gesuch der Ge- suchstellerinnen und Beschwerdeführerinnen (fortan Gesuchstellerinnen) um Ge- währung der provisorischen Rechtsöffnung in der Betreibung Nr. 1 des Betrei- bungsamts Zürich 5 (Zahlungsbefehl vom 9. Februar 2023) für Fr. 225'740.– nebst Zins ab (Urk. 5 S. 6 = Urk. 8 S. 6).</w:t>
      </w:r>
    </w:p>
    <w:p>
      <w:r>
        <w:rPr>
          <w:b/>
        </w:rPr>
        <w:t>E. 2</w:t>
      </w:r>
    </w:p>
    <w:p>
      <w:r>
        <w:t>Die Prozesskosten (Gerichtskosten, Parteientschädigung sowie MsSt.) seien dem Gesuchsgegner aufzuerlegen. Subsidiär: Die Angelegenheit sei ans Bezirksgericht Zürich zurückgewiesen, damit dieses im Sinne der Urteilserwägungen einen neuen Ent- scheid fällt.</w:t>
      </w:r>
    </w:p>
    <w:p>
      <w:r>
        <w:rPr>
          <w:b/>
        </w:rPr>
        <w:t>E. 3</w:t>
      </w:r>
    </w:p>
    <w:p>
      <w:r>
        <w:t>Mit Verfügung vom 9. Mai 2023 wurde den Gesuchstellerinnen Frist zur Leistung des Kostenvorschusses in Höhe von Fr. 3'000.– angesetzt, welcher frist- gerecht einging (Urk. 11-12). Daraufhin wurde dem Gesuchsgegner und Be- schwerdegegner (fortan Gesuchsgegner) mit Verfügung vom 26. Mai 2023 Frist angesetzt, um die Beschwerdeantwort einzureichen (Urk. 13). Die Verfügung konnte dem Ge-suchsgegner erst durch das Stadtammann- und Betreibungsamt zugestellt werden (Urk. 14-22). Der Gesuchsgegner liess sich innert Frist nicht vernehmen.</w:t>
      </w:r>
    </w:p>
    <w:p>
      <w:r>
        <w:rPr>
          <w:b/>
        </w:rPr>
        <w:t>E. 4</w:t>
      </w:r>
    </w:p>
    <w:p>
      <w:r>
        <w:t>Die Beschwerde erweist sich im Sinne der obigen Erwägungen als be- gründet. Da die Vorinstanz die Voraussetzungen der definitiven Rechtsöffnung nicht geprüft und dem Gesuchsgegner das rechtliche Gehör noch nicht gewährt hat, ist die Sache jedoch noch nicht spruchreif. Das Rechtsöffnungsgesuch wurde</w:t>
      </w:r>
    </w:p>
    <w:p>
      <w:r>
        <w:t>- 6 - dem Gesuchsgegner nämlich erst mit dem Endentscheid zugestellt (Urk. 8 S. 6). Das rechtliche Gehör des Gesuchsgegners kann nicht erst im Beschwerdeverfah- ren gewährt bzw. nachgeholt werden, da die Beschwerdeinstanz mit Bezug auf die Feststellung des Sachverhalts lediglich über eine beschränkte Kognition ver- fügt (Art. 320 lit. b ZPO) und Noven im Beschwerdeverfahren unzulässig sind (Art. 326 Abs. 1 ZPO). Die Sache ist deshalb zu neuer Beurteilung an die Vo- rinstanz zurückzuweisen. Dabei muss der Gesuchsgegner vor Ausfällung des neuen Entscheids Gelegenheit haben, zum Rechtsöffnungsgesuch Stellung zu nehmen. III. Im Falle eines Rückweisungsentscheides kann sich die Rechts- mittelinstanz damit begnügen, lediglich ihre Gerichtskosten festzusetzen und de- ren Verteilung sowie den Entscheid über die Parteientschädigung der Vorinstanz zu überlassen, d.h. vom definitiven Ausgang des Verfahrens abhängig zu machen (Art. 104 Abs. 4 ZPO). Die Gerichtskosten für das Beschwerdeverfahren sind in Anwendung von Art. 48 i.V.m. Art. 61 Abs. 1 GebV SchKG auf Fr. 3'000.– festzu- setzen.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