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RT230051 vom 15. Mai 2023</w:t>
      </w:r>
    </w:p>
    <w:p>
      <w:r>
        <w:t>ZH Obergericht, 2023-05-15, DE</w:t>
      </w:r>
    </w:p>
    <w:p>
      <w:r>
        <w:rPr>
          <w:b/>
        </w:rPr>
        <w:t xml:space="preserve">Quelle: </w:t>
      </w:r>
      <w:r>
        <w:t>https://mcp.opencaselaw.ch/entscheid/zh_obergericht_RT230051</w:t>
      </w:r>
    </w:p>
    <w:p>
      <w:r>
        <w:t>FR: ZH_OBERGERICHT RT230051 du 15 mai 2023</w:t>
      </w:r>
    </w:p>
    <w:p>
      <w:r>
        <w:t>IT: ZH_OBERGERICHT RT230051 del 15 maggio 2023</w:t>
      </w:r>
    </w:p>
    <w:p>
      <w:pPr>
        <w:pStyle w:val="Heading2"/>
      </w:pPr>
      <w:r>
        <w:t>Erwägungen</w:t>
      </w:r>
    </w:p>
    <w:p>
      <w:r>
        <w:rPr>
          <w:b/>
        </w:rPr>
        <w:t>E. 1</w:t>
      </w:r>
    </w:p>
    <w:p>
      <w:r>
        <w:t>Mit Urteil des Einzelgerichts im summarischen Verfahren am Bezirks- gericht Horgen vom 22. März 2023 wurde der Klägerin und Beschwerdegegnerin (fortan Klägerin) in der Betreibung Nr. ... des Betreibungsamts Wädenswil (Zah- lungsbefehl vom 6. Dezember 2022) definitive Rechtsöffnung für Fr. 10'303.95 er- teilt. Im Mehrbetrag wurde das Begehren abgewiesen (Urk. 7 S. 5 = Urk. 11 S. 5).</w:t>
      </w:r>
    </w:p>
    <w:p>
      <w:r>
        <w:rPr>
          <w:b/>
        </w:rPr>
        <w:t>E. 2</w:t>
      </w:r>
    </w:p>
    <w:p>
      <w:r>
        <w:t>Dagegen erhob der Beklagte und Beschwerdeführer (fortan Beklagter) fristgerecht Beschwerde mit dem sinngemässen Antrag, es sei das Rechtsöff- nungsgesuch abzuweisen (Urk. 8/2-Urk. 10 und Art. 321 Abs. 2 ZPO). Mit Verfü- gung vom 14. April 2023 wurde ihm Frist zur Leistung des Kostenvorschusses in Höhe von Fr. 750.– angesetzt (Urk. 12). Die Verfügung wurde an das Gericht re- tourniert, nachdem der Beklagte die Sendung nicht abgeholt hatte (Urk. 13). Da- raufhin wurde mit Verfügung vom 27. April 2023 eine Nachfrist zur Leistung des Kostenvorschusses angesetzt. Die Fristansetzung erfolgte unter der Androhung, dass bei Nichtleistung des Kostenvorschusses innert der Nachfrist auf die Be- schwerde nicht eingetreten werde (Urk. 14). Auch diese Sendung holte der Be- klagte nicht ab (Urk. 15).</w:t>
      </w:r>
    </w:p>
    <w:p>
      <w:r>
        <w:rPr>
          <w:b/>
        </w:rPr>
        <w:t>E. 3</w:t>
      </w:r>
    </w:p>
    <w:p>
      <w:r>
        <w:t>Da der Beklagte das Verfahren selbst eingeleitet hat, musste er mit ge- richtlichen Zustellungen rechnen, weshalb die Sendungen jeweils am siebten Tag nach dem erfolglosen Zustellungsversuch als zugestellt galten (Art. 138 Abs. 3 lit. a ZPO). Die Nachfrist zur Leistung des Kostenvorschusses lief mithin am 10. Mai 2023 ungenutzt ab. Da der Kostenvorschuss bis heute nicht geleistet wurde, ist auf die Beschwerde androhungsgemäss nicht einzutreten (Urk. 14 Dis- positiv Ziff. 1; Art. 98 i.V.m. Art. 101 Abs. 1 und Abs. 3 und Art. 59 Abs. 2 lit. f ZPO).</w:t>
      </w:r>
    </w:p>
    <w:p>
      <w:r>
        <w:rPr>
          <w:b/>
        </w:rPr>
        <w:t>E. 4</w:t>
      </w:r>
    </w:p>
    <w:p>
      <w:r>
        <w:t>Ausgehend von einem Streitwert von Fr. 10'303.95 ist die Entscheid- gebühr für das Beschwerdeverfahren in Anwendung von Art. 48 in Verbindung mit Art. 61 Abs. 1 GebV SchKG auf Fr. 500.– festzusetzen und ausgangsgemäss dem Beklagten aufzuerlegen (Art. 106 Abs. 1 ZPO). Für das Beschwerdeverfah- ren sind sodann keine Parteientschädigungen zuzusprechen, dem Beklagten zu-</w:t>
      </w:r>
    </w:p>
    <w:p>
      <w:r>
        <w:t>- 3 - folge seines Unterliegens (Art. 106 Abs. 1 ZPO), der Klägerin mangels erheblicher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