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RT230050 vom 24. Mai 2023</w:t>
      </w:r>
    </w:p>
    <w:p>
      <w:r>
        <w:t>ZH Obergericht, 2023-05-24, DE</w:t>
      </w:r>
    </w:p>
    <w:p>
      <w:r>
        <w:rPr>
          <w:b/>
        </w:rPr>
        <w:t xml:space="preserve">Quelle: </w:t>
      </w:r>
      <w:r>
        <w:t>https://mcp.opencaselaw.ch/entscheid/zh_obergericht_RT230050</w:t>
      </w:r>
    </w:p>
    <w:p>
      <w:r>
        <w:t>FR: ZH_OBERGERICHT RT230050 du 24 mai 2023</w:t>
      </w:r>
    </w:p>
    <w:p>
      <w:r>
        <w:t>IT: ZH_OBERGERICHT RT230050 del 24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3. März 2023 erteilte die Vorinstanz der Gesuchstellerin und Beschwerdegegnerin (fortan Gesuchstellerin) in der Betreibung Nr. … des Betreibungsamtes Uster (Zahlungsbefehl vom 13. September 2022) gestützt auf sechs Entscheide des Bundesgerichts, in welchen die Gesuchsgegnerin und Be- schwerdeführerin (fortan Gesuchsgegnerin) zur Tragung von Gerichtskosten ver- pflichtet wurde (Urk. 2/2-7), definitive Rechtsöffnung für Fr. 2'330.– nebst Zins zu</w:t>
      </w:r>
    </w:p>
    <w:p>
      <w:r>
        <w:rPr>
          <w:b/>
        </w:rPr>
        <w:t>E. 5</w:t>
      </w:r>
    </w:p>
    <w:p>
      <w:r>
        <w:t>Die Prozesskosten werden der unterliegenden Partei auferlegt. Bei Nicht- eintreten gilt die klagende Partei bzw. die Partei, welche das Rechtsmittel erho- ben hat, als unterliegend (vgl. Art. 106 Abs. 1 ZPO), weshalb der Gesuchsgegne- rin die Gerichtskosten des Beschwerdeverfahrens aufzuerlegen sind. Die Spruch- gebühr ist gestützt auf Art. 48 i.V.m. Art. 61 Abs. 1 GebV SchKG auf Fr. 300.– festzusetzen. Mangels wesentlicher Umtriebe sind der Gesuchstellerin und dem Beschwerdegegner für das Beschwerdeverfahren keine Entschädigungen zuzu- sprechen (vgl. Art. 95 Abs. 3 ZPO). Die Gesuchsgegnerin ihrerseits hat als unter- liegende Partei keinen Anspruch auf Entschädigung (vgl.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