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RT230042 vom 12. April 2023</w:t>
      </w:r>
    </w:p>
    <w:p>
      <w:r>
        <w:t>ZH Obergericht, 2023-04-12, DE</w:t>
      </w:r>
    </w:p>
    <w:p>
      <w:r>
        <w:rPr>
          <w:b/>
        </w:rPr>
        <w:t xml:space="preserve">Quelle: </w:t>
      </w:r>
      <w:r>
        <w:t>https://mcp.opencaselaw.ch/entscheid/zh_obergericht_RT230042</w:t>
      </w:r>
    </w:p>
    <w:p>
      <w:r>
        <w:t>FR: ZH_OBERGERICHT RT230042 du 12 avril 2023</w:t>
      </w:r>
    </w:p>
    <w:p>
      <w:r>
        <w:t>IT: ZH_OBERGERICHT RT230042 del 12 aprile 2023</w:t>
      </w:r>
    </w:p>
    <w:p>
      <w:pPr>
        <w:pStyle w:val="Heading2"/>
      </w:pPr>
      <w:r>
        <w:t>Erwägungen</w:t>
      </w:r>
    </w:p>
    <w:p>
      <w:r>
        <w:rPr>
          <w:b/>
        </w:rPr>
        <w:t>E. 2</w:t>
      </w:r>
    </w:p>
    <w:p>
      <w:r>
        <w:t>Die Vorinstanz erwog, die Gesuchstellerin stütze ihr Gesuch auf die Verfü- gung Nr. … der Arbeitslosenkasse des Amts für Wirtschaft und Arbeit der Volks- wirtschaftsdirektion des Kantons Zürich vom 3. Januar 2022 (Urk. 2/2), gemäss welcher die Gesuchsgegnerin zur Rückerstattung von Fr. 30'630.10 verpflichtet worden sei, und die dazugehörige Mahnung vom 21. Juli 2022 (Urk. 2/3). Gegen die Verfügung vom 3. Januar 2022 sei kein Rechtsmittel erhoben worden, wes- halb sie rechtskräftig und vollstreckbar sei (mit Verweis auf Urk. 2/2). Betrags- mässig sei die Forderung durch die eingereichten Unterlagen ausgewiesen. Die Einwände der Gesuchsgegnerin richteten sich im Wesentlichen gegen den Inhalt der Verfügung vom 3. Januar 2022, welche im Rahmen eines Rechtsmittelverfah- rens gegen diesen Entscheid hätten vorgebracht werden müssen. Im Vollstre- ckungsverfahren könnten jene hingegen nicht mehr berücksichtigt werden. Im Er- gebnis sei der Gesuchstellerin antragsgemäss definitive Rechtsöffnung zu erteilen (Urk. 9 S. 2 ff.).</w:t>
      </w:r>
    </w:p>
    <w:p>
      <w:r>
        <w:t>- 3 - 3.1.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 der Gesuchsgeg- nerin nicht. Darin beharrt sie im Wesentlichen auf ihrem Standpunkt, sie habe An- spruch auf die ausbezahlte Kurzarbeitsentschädigung gehabt und die Gesuchstel- lerin verlange daher zu Unrecht deren Rückerstattung (Urk. 8). Hingegen setzt sich die Gesuchsgegnerin in ihrer Beschwerde nicht einmal ansatzweise mit den Erwägungen der Vorinstanz im angefochtenen Entscheid auseinander. Insbeson- dere zeigt sie nicht auf, dass die Vorinstanz zu Unrecht davon ausging, die rechtskräftige und vollstreckbare Verfügung der Gesuchstellerin vom 3. Januar 2022 (Urk. 2/2) könne im Rahmen des Rechtsöffnungsverfahrens inhaltlich nicht mehr überprüft werden (vgl. dazu BGE 143 III 564 E. 4.3.1 = Pra 107/2018 Nr. 132; BGE 142 III 78 E. 3.1). Ebenso wenig legt sie dar, dass die Vorinstanz zu Unrecht davon ausging, ihre Einwendungen ständen der Erteilung der Rechtsöff- nung nicht entgegen, da sie weder die Tilgung, Stundung oder Verjährung der Be- treibungsforderung beträfen. Damit genügt die Gesuchsgegnerin ihrer Begrün- dungsobliegenheit (vgl. oben Ziff. 3.1) nicht, weshalb auf die Beschwerde nicht einzutreten ist. 4.1. Die Entscheidgebühr für das Beschwerdeverfahren ist in Anwendung von Art. 48 i.V.m. Art. 61 Abs. 1 GebV SchKG auf Fr. 500.– festzusetzen. Die Ge-</w:t>
      </w:r>
    </w:p>
    <w:p>
      <w:r>
        <w:t>- 4 - richtskosten sind ausgangsgemäss der Gesuchsgegnerin aufzuerlegen (Art. 106 Abs. 1 ZPO). 4.2. Für das Beschwerdeverfahren sind keine Parteientschädigungen zuzuspre- chen, der Gesuchsgegnerin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