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RT230028 vom 28. März 2023</w:t>
      </w:r>
    </w:p>
    <w:p>
      <w:r>
        <w:t>ZH Obergericht, 2023-03-28, DE</w:t>
      </w:r>
    </w:p>
    <w:p>
      <w:r>
        <w:rPr>
          <w:b/>
        </w:rPr>
        <w:t xml:space="preserve">Quelle: </w:t>
      </w:r>
      <w:r>
        <w:t>https://mcp.opencaselaw.ch/entscheid/zh_obergericht_RT230028</w:t>
      </w:r>
    </w:p>
    <w:p>
      <w:r>
        <w:t>FR: ZH_OBERGERICHT RT230028 du 28 mars 2023</w:t>
      </w:r>
    </w:p>
    <w:p>
      <w:r>
        <w:t>IT: ZH_OBERGERICHT RT230028 del 28 marzo 2023</w:t>
      </w:r>
    </w:p>
    <w:p>
      <w:pPr>
        <w:pStyle w:val="Heading2"/>
      </w:pPr>
      <w:r>
        <w:t>Erwägungen</w:t>
      </w:r>
    </w:p>
    <w:p>
      <w:r>
        <w:rPr>
          <w:b/>
        </w:rPr>
        <w:t>E. 27</w:t>
      </w:r>
    </w:p>
    <w:p>
      <w:r>
        <w:t>Februar 2023 zugestellt (Urk. 10). 1.2. Gegen das Urteil vom 23. Januar 2023 erhob der Gesuchsgegner mit Eingabe vom 7. März 2023 fristgerecht (siehe E. 3) Beschwerde und erklärte, er werde sämtliche Unterlagen einreichen und bitte dafür um etwas Zeit (Urk. 11). Mit Verfügung vom 8. März 2023 wurde das sinngemässe Fristerstreckungsge- such des Gesuchsgegners abgewiesen (Urk. 13). 1.3. Die vorinstanzlichen Akten wurden beigezogen (Urk. 1-10). Da sich die Beschwerde sogleich als offensichtlich unbegründet erweist, kann auf das Einho- len einer Beschwerdeantwort verzichtet werden (Art. 322 Abs. 1 ZPO). 2.1. Mit der Beschwerde können unrichtige Rechtsanwendung und offen- sichtlich unrichtige Feststellung des Sachverhalts geltend gemacht werden (Art. 320 ZPO). Vorab aber muss die Beschwerdeschrift konkrete Anträge enthal- ten, worauf schon in der vorinstanzlichen Rechtsmittelbelehrung hingewiesen wurde (Urk. 12 Dispositiv-Ziffer 6). Aus diesen Anträgen muss eindeutig hervor- gehen, in welchem Umfang der vorinstanzliche Entscheid angefochten wird und wie der Entscheid stattdessen zu lauten hätte. Auf Geldzahlungen gerichtete An- träge müssen beziffert sein. Ergeben sich auch unter Einbezug der Begründung (allenfalls in Verbindung mit dem angefochtenen Entscheid) keine genügenden Anträge, ist auf die Beschwerde nicht einzutreten, ohne dass eine Nachfrist anzu- setzen wäre (BGE 137 III 617).</w:t>
      </w:r>
    </w:p>
    <w:p>
      <w:r>
        <w:t>- 3 - 2.2. Die Zustellung von Vorladungen, Verfügungen und Entscheiden gilt bei einer eingeschriebenen und nicht abgeholten Postsendung am siebten Tag nach dem erfolglosen Zustellversuch als erfolgt, sofern der Adressat mit einer Zustel- lung rechnen musste (Art. 138 Abs. 3 lit. a ZPO; sogenannte Zustellfiktion). Eine weitere Zustellung ist in der Zivilprozessordnung nicht vorgesehen. Unternimmt das Gericht nach dem gescheiterten Versuch der Zustellung einer fristauslösen- den Sendung dennoch – während laufender Frist – einen weiteren Zustellversuch, ohne den Adressaten darauf hinzuweisen, dass für die Fristberechnung die Zu- stellfiktion massgeblich ist, kann dies nach Treu und Glauben dazu führen, dass für die Fristberechnung auf die zweite Zustellung abzustellen ist (OGer ZH RB170029 vom 13.07.2017, E. 2.4.1.). 3. Da der Gesuchsgegner aufgrund der erfolgreichen Zustellung der Ver- fügung vom 1. November 2022 (Urk. 4-5) Kenntnis vom gegen ihn eingeleiteten Rechtsöffnungsverfahren hatte, musste er mit weiteren Zustellungen rechnen. Damit galt das Urteil vom 23. Januar 2023 grundsätzlich am siebten Tag nach dem ersten erfolglosen Zustellversuch als zugestellt (Art. 138 Abs. 3 lit. a ZPO) und auch die Rechtsmittelfrist begann zu diesem Zeitpunkt zu laufen. Die Vor- instanz unternahm jedoch während laufender Rechtsmittelfrist einen zweiten (er- folgreichen) Zustellversuch, ohne darauf hinzuweisen, dass für die Fristberech- nung die Zustellfiktion massgeblich ist und die Frist zur Erhebung der Beschwerde bereits zu laufen begonnen hatte (Urk. 10). Damit ist für die Berechnung der Rechtsmittelfrist auf das Datum der zweiten Zustellung am 27. Februar 2023 ab- zustellen (Urk. 10). Die Beschwerde vom 7. März 2023 (Datum des Poststempels [Urk. 11]) wurde somit rechtzeitig eingereicht. Der Gesuchsgegner stellt in der Beschwerde jedoch keine Anträge, sondern erklärt bloss, dass er hiermit Be- schwerde gegen das Urteil vom 23. Januar 2023 einlege (Urk. 11). Auch fehlt jeg- liche Begründung. Dies genügt nicht (siehe E. 2.1.), weshalb auf die Beschwerde nicht einzutreten ist. 4. Für das Beschwerdeverfahren beträgt der Streitwert Fr. 3'235.25. Die zweitinstanzliche Entscheidgebühr ist in Anwendung von Art. 48 i.V.m. Art. 61 Abs. 1 GebV SchKG auf Fr. 300.– festzusetzen und ausgangsgemäss dem Ge-</w:t>
      </w:r>
    </w:p>
    <w:p>
      <w:r>
        <w:t>- 4 - suchsgegner aufzuerlegen (Art. 106 Abs. 1 ZPO). Parteientschädigungen sind im Beschwerdeverfahren keine zuzusprechen, da der Gesuchsgegner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