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RT230020 vom 24. März 2023</w:t>
      </w:r>
    </w:p>
    <w:p>
      <w:r>
        <w:t>ZH Obergericht, 2023-03-24, DE</w:t>
      </w:r>
    </w:p>
    <w:p>
      <w:r>
        <w:rPr>
          <w:b/>
        </w:rPr>
        <w:t xml:space="preserve">Quelle: </w:t>
      </w:r>
      <w:r>
        <w:t>https://mcp.opencaselaw.ch/entscheid/zh_obergericht_RT230020</w:t>
      </w:r>
    </w:p>
    <w:p>
      <w:r>
        <w:t>FR: ZH_OBERGERICHT RT230020 du 24 mars 2023</w:t>
      </w:r>
    </w:p>
    <w:p>
      <w:r>
        <w:t>IT: ZH_OBERGERICHT RT230020 del 24 marzo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30. September 2022 erteilte die Vorinstanz der Gesuch- stellerin und Beschwerdegegnerin (fortan Gesuchstellerin) in der Betreibung Nr. … des Betreibungsamtes Bülach (Zahlungsbefehl vom 20. September 2021) gestützt auf einen Verlustschein infolge Pfändung nach Art. 149 SchKG vom</w:t>
      </w:r>
    </w:p>
    <w:p>
      <w:r>
        <w:rPr>
          <w:b/>
        </w:rPr>
        <w:t>E. 2</w:t>
      </w:r>
    </w:p>
    <w:p>
      <w:r>
        <w:t>Eventualiter sei das Verfahren zur Ergänzung und zu neuem Ent- scheid im Sinne der Erwägungen an die Vorinstanz zurückzuwei- sen.</w:t>
      </w:r>
    </w:p>
    <w:p>
      <w:r>
        <w:rPr>
          <w:b/>
        </w:rPr>
        <w:t>E. 3</w:t>
      </w:r>
    </w:p>
    <w:p>
      <w:r>
        <w:t>Der Beschwerde sei aufschiebende Wirkung zu gewähren.</w:t>
      </w:r>
    </w:p>
    <w:p>
      <w:r>
        <w:rPr>
          <w:b/>
        </w:rPr>
        <w:t>E. 4</w:t>
      </w:r>
    </w:p>
    <w:p>
      <w:r>
        <w:t>Mit dem vorliegenden Entscheid wird der Antrag des Gesuchsgegners um Erteilung der aufschiebenden Wirkung obsolet.</w:t>
      </w:r>
    </w:p>
    <w:p>
      <w:r>
        <w:rPr>
          <w:b/>
        </w:rPr>
        <w:t>E. 5</w:t>
      </w:r>
    </w:p>
    <w:p>
      <w:r>
        <w:t>Die Prozesskosten werden der unterliegenden Partei auferlegt. Bei Nicht- eintreten gilt die klagende Partei bzw. die Partei, welche das Rechtsmittel erho- ben hat, als unterliegend (vgl. Art. 106 Abs. 1 ZPO), weshalb dem Gesuchsgeg- ner die Gerichtskosten des Beschwerdeverfahrens aufzuerlegen sind. Die Spruchgebühr ist gestützt auf Art. 48 i.V.m. Art. 61 Abs. 1 GebV SchKG auf Fr. 300.– festzusetzen. Mangels wesentlicher Umtriebe ist der Gesuchstellerin für das Beschwerdeverfahren keine Entschädigung zuzusprechen (vgl. Art. 95 Abs. 3 ZPO). Der Gesuchsgegner seinerseits hat als unterliegende Partei keinen An- spruch auf Entschädigung (vgl. 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