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RT230003 vom 3. Februar 2023</w:t>
      </w:r>
    </w:p>
    <w:p>
      <w:r>
        <w:t>ZH Obergericht, 2023-02-03, DE</w:t>
      </w:r>
    </w:p>
    <w:p>
      <w:r>
        <w:rPr>
          <w:b/>
        </w:rPr>
        <w:t xml:space="preserve">Quelle: </w:t>
      </w:r>
      <w:r>
        <w:t>https://mcp.opencaselaw.ch/entscheid/zh_obergericht_RT230003</w:t>
      </w:r>
    </w:p>
    <w:p>
      <w:r>
        <w:t>FR: ZH_OBERGERICHT RT230003 du 3 février 2023</w:t>
      </w:r>
    </w:p>
    <w:p>
      <w:r>
        <w:t>IT: ZH_OBERGERICHT RT230003 del 3 febbraio 2023</w:t>
      </w:r>
    </w:p>
    <w:p>
      <w:pPr>
        <w:pStyle w:val="Heading2"/>
      </w:pPr>
      <w:r>
        <w:t>Erwägungen</w:t>
      </w:r>
    </w:p>
    <w:p>
      <w:r>
        <w:rPr>
          <w:b/>
        </w:rPr>
        <w:t>E. 1</w:t>
      </w:r>
    </w:p>
    <w:p>
      <w:r>
        <w:t>a) Mit Urteil vom 6. Dezember 2022 erteilte das Bezirksgericht Dieti- kon (Vorinstanz) der Gesuchstellerin in der Betreibung Nr. … des Betreibungs- amts Dietikon (Zahlungsbefehl vom 5. August 2022) – gestützt auf zwei Strafbe- fehle – definitive Rechtsöffnung für Fr. 740.-- nebst 5% Zins seit 21. Juni 2022, Fr. 60.-- Busse und Fr. 40.-- Mahngebühren; die Kostenfolgen wurden zu Lasten des Gesuchsgegners geregelt (Urk. 7 = Urk. 10). b) Hiergegen erhob der Gesuchsgegner am 20. Januar 2023 fristgerecht (vgl. Urk. 8/2: Zustellung am 12. Januar 2023) Beschwerde und stellte die folgen- den Beschwerdeanträge (Urk. 9 S.1-3): "Antrag 1 Ich bitte um lückenlose Aufklärung weshalb diese Verkehrsüberwachungsan- lage nicht tadellos funktionierte am 06.05.2021." "Antrag 2 Auch hier bitte ich um eine lückenlose Aufklärung warum diese Verkehrs- überwachungsanlage nicht tadellos funktionierte am 23.04.2021. Warum blitzt es wenn ich den Tempomat meines Autos in der 50Km/h Zone auf 50 Km/h eingestellt habe?" "Antrag 3 Ein Strafbefehl ist eine Verordnung die nicht dem römischen Recht entspricht und ganz klar ein Schweizer Grundsatz der Bundesverfassung verletzt wie die Gewaltentrennung und gehört abgeschafft. Aus meiner Sichtweise ist ein Strafbefehl eine Willkür-Verordnung." c) Die vorinstanzlichen Akten wurden beigezogen. Da sich die Beschwer- de sogleich als offensichtlich unbegründet erweist, kann auf weitere Prozesshand- lungen verzichtet werden (Art. 322 Abs. 1 ZPO).</w:t>
      </w:r>
    </w:p>
    <w:p>
      <w:r>
        <w:rPr>
          <w:b/>
        </w:rPr>
        <w:t>E. 2</w:t>
      </w:r>
    </w:p>
    <w:p>
      <w:r>
        <w:t>a) Mit der Beschwerde können unrichtige Rechtsanwendung und offensichtlich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rechtsge-</w:t>
      </w:r>
    </w:p>
    <w:p>
      <w:r>
        <w:t>- 3 - nügend beanstandet wird, braucht von der Beschwerdeinstanz nicht überprüft zu werden und hat insofern grundsätzlich Bestand. Sodann sind im Beschwerdever- fahren neue Anträge, neue Tatsachenbehauptungen und neue Beweismittel aus- geschlossen (Art. 326 Abs. 1 ZPO); was im erstinstanzlichen Verfahren nicht (rechtzeitig) vorgetragen wurde, kann im Beschwerdeverfahren grundsätzlich nicht mehr geltend gemacht bzw. nachgeholt werden. b) Die Vorinstanz erwog im Wesentlichen, die Gesuchstellerin stütze sich auf zwei Strafbefehle des Stadtrichteramts Zürich vom 10. September 2021 und 28. September 2021 sowie auf die nach Rückzug der jeweiligen Einsprachen des Gesuchsgegners ergangenen Schlussverfügungen vom 28. April 2022 und</w:t>
      </w:r>
    </w:p>
    <w:p>
      <w:r>
        <w:rPr>
          <w:b/>
        </w:rPr>
        <w:t>E. 3</w:t>
      </w:r>
    </w:p>
    <w:p>
      <w:r>
        <w:t>a) Für das Beschwerdeverfahren beträgt der Streitwert Fr. 840.--.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