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RT230002 vom 30. Januar 2023</w:t>
      </w:r>
    </w:p>
    <w:p>
      <w:r>
        <w:t>ZH Obergericht, 2023-01-30, DE</w:t>
      </w:r>
    </w:p>
    <w:p>
      <w:r>
        <w:rPr>
          <w:b/>
        </w:rPr>
        <w:t xml:space="preserve">Quelle: </w:t>
      </w:r>
      <w:r>
        <w:t>https://mcp.opencaselaw.ch/entscheid/zh_obergericht_RT230002</w:t>
      </w:r>
    </w:p>
    <w:p>
      <w:r>
        <w:t>FR: ZH_OBERGERICHT RT230002 du 30 janvier 2023</w:t>
      </w:r>
    </w:p>
    <w:p>
      <w:r>
        <w:t>IT: ZH_OBERGERICHT RT230002 del 30 gennaio 2023</w:t>
      </w:r>
    </w:p>
    <w:p>
      <w:pPr>
        <w:pStyle w:val="Heading2"/>
      </w:pPr>
      <w:r>
        <w:t>Erwägungen</w:t>
      </w:r>
    </w:p>
    <w:p>
      <w:r>
        <w:rPr>
          <w:b/>
        </w:rPr>
        <w:t>E. 1</w:t>
      </w:r>
    </w:p>
    <w:p>
      <w:r>
        <w:t>a) Mit Verfügung vom 12. Januar 2023 trat das Bezirksgericht Die- tikon (Vorinstanz) auf das Rechtsöffnungsgesuch des Gesuchstellers – in der Be- treibung Nr. … des Betreibungsamts Schlieren/Urdorf (Zahlungsbefehl vom 7. November 2022) für Pachtzinsen von Fr. 12'500.-- nebst Zins – nicht ein; die Kosten wurden dem Gesuchsteller auferlegt (Urk. 8 = Urk. 11). b) Hiergegen erhob der Gesuchsteller am 18. Januar 2023 fristgerecht Beschwerde. Diese enthält keine Anträge (vgl. Urk. 10), es kann jedoch vermutet werden, dass sie auf Gutheissung des Rechtsöffnungsgesuchs abzielt. c) Die vorinstanzlichen Akten wurden beigezogen (Urk. 1-9). Da sich die Beschwerde sogleich als offensichtlich unbegründet erweist, kann auf weitere Prozesshandlungen verzichtet werden (vgl.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Was nicht rechtsgenügend beanstandet wird, braucht von der Beschwerdeinstanz nicht überprüft zu werden und hat insofern grundsätzlich Bestand. Sodann sind im Beschwerdeverfahren neue Anträge, neue Tatsachenbehauptungen und neue Beweismittel ausgeschlossen (Art. 326 Abs. 1 ZPO); was im erstinstanzlichen Verfahren nicht vorgetragen bzw. eingereicht wurde, kann im Beschwerdeverfah- ren grundsätzlich nicht mehr geltend gemacht bzw. nachgereicht werden. Dies ergibt sich aus der Natur der Beschwerde, welche als ausserordentliches Rechtsmittel im Wesentlichen auf die Rechtskontrolle beschränkt ist und nicht das erstinstanzliche Verfahren fortsetzen soll. b) Die Vorinstanz trat auf das Rechtsöffnungsgesuch zusammengefasst deshalb nicht ein, weil der Gesuchsteller den Zahlungsbefehl auch innert Nach- frist nicht eingereicht habe und damit die Prozessvoraussetzung des Vorliegens einer gültigen Betreibung nicht überprüft werden könne (vgl. Urk. 11 S. 2-3).</w:t>
      </w:r>
    </w:p>
    <w:p>
      <w:r>
        <w:t>- 3 - c) Der Gesuchsteller reicht mit seiner Beschwerde lediglich den Zah- lungsbefehl und weitere Unterlagen ein, erhebt dagegen keine Beanstandungen gegen die Erwägungen der angefochtenen Verfügung (Urk. 10). Wie dargelegt (oben Erwägung 1.a), können die erst im Beschwerdeverfahren eingereichten Ur- kunden jedoch nicht berücksichtigt werden. Dies gilt namentlich für den Zah- lungsbefehl. Somit bleibt es dabei, dass der Gesuchsteller diesen im vorinstanzli- chen Verfahren nicht eingereicht hatte und damit die Prozessvoraussetzung einer gültigen Betreibung nicht überprüft werden konnte. Dass dies eine unrichtige Rechtsanwendung darstellen würde, wird in der Beschwerde nicht geltend ge- macht. d) Nach dem Gesagten erweist sich die Beschwerde als offensichtlich un- begründet. Sie ist demgemäss abzuweisen. e) Dem Gesuchsteller steht es frei, seine Forderung erneut geltend zu machen.</w:t>
      </w:r>
    </w:p>
    <w:p>
      <w:r>
        <w:rPr>
          <w:b/>
        </w:rPr>
        <w:t>E. 3</w:t>
      </w:r>
    </w:p>
    <w:p>
      <w:r>
        <w:t>a) Für das Beschwerdeverfahren beträgt der Streitwert Fr. 12'500.--. Die zweitinstanzliche Entscheidgebühr ist in Anwendung von Art. 48 i.V.m. Art. 61 Abs. 1 GebV SchKG auf Fr. 200.-- festzusetzen. b) Die Gerichtskosten des Beschwerdeverfahrens sind ausgangsgemäss dem Gesuchsteller aufzuerlegen (Art. 106 Abs. 1 ZPO). c) Für das Beschwerdeverfahren sind keine Parteientschädigungen zuzu- sprechen, dem Gesuchsteller zufolge seines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