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RT220213 vom 10. Februar 2023</w:t>
      </w:r>
    </w:p>
    <w:p>
      <w:r>
        <w:t>ZH Obergericht, 2023-02-10, DE</w:t>
      </w:r>
    </w:p>
    <w:p>
      <w:r>
        <w:rPr>
          <w:b/>
        </w:rPr>
        <w:t xml:space="preserve">Quelle: </w:t>
      </w:r>
      <w:r>
        <w:t>https://mcp.opencaselaw.ch/entscheid/zh_obergericht_RT220213</w:t>
      </w:r>
    </w:p>
    <w:p>
      <w:r>
        <w:t>FR: ZH_OBERGERICHT RT220213 du 10 février 2023</w:t>
      </w:r>
    </w:p>
    <w:p>
      <w:r>
        <w:t>IT: ZH_OBERGERICHT RT220213 del 10 febbraio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Mit Urteil vom 7. Oktober 2022 erteilte die Vorinstanz dem Gesuchstel- ler und Beschwerdegegner (fortan Gesuchsteller) in der Betreibung Nr. … des Be- treibungsamtes Uster (Zahlungsbefehl vom 4. März 2022) gestützt auf den Straf- befehl des Statthalteramtes Bezirk Hinwil ST.2020.3975 vom 2. Februar 2021 (Urk. 2/1) definitive Rechtsöffnung für Fr. 130.– und für die Betreibungskosten sowie für Kosten und Entschädigung gemäss den Dispositivziffern 2 bis 4 des Ur- teils. Im Mehrbetrag wurde das Rechtsöffnungsbegehren abgewiesen (Urk. 13 = Urk. 17; vorab in unbegründeter Ausfertigung erlassen, Urk. 10). b) Hiergegen erhob der Gesuchsgegner und Beschwerdeführer (fortan Ge- suchsgegner) mit Eingabe vom 22. Dezember 2022 innert Frist (Art. 321 Abs. 2 ZPO i.V.m. Art. 251 lit. a ZPO; Urk. 15 S. 3) Beschwerde (Urk. 16). Die vorinstanzlichen Akten wurden beigezogen (Urk. 1-15). Da sich die Be- schwerde sogleich als offensichtlich unbegründet bzw. unzulässig erweist, kann auf weitere Prozesshandlungen verzichtet werden (Art. 322 Abs. 1 ZPO).</w:t>
      </w:r>
    </w:p>
    <w:p>
      <w:r>
        <w:rPr>
          <w:b/>
        </w:rPr>
        <w:t>E. 2</w:t>
      </w:r>
    </w:p>
    <w:p>
      <w:r>
        <w:t>Der Gesuchsgegner hält das Obergericht des Kantons Zürich für befan- gen (Urk. 16 S. 27 Ziff. 12). Das Obergericht des Kantons Zürich als Institution kann nicht abgelehnt werden (BGer 5A_1056/2019 vom 6. Januar 2020, E. 3 m.w.H.; BGE 5A_118/2022 vom 15. März 2022, E. 3 m.w.H.; vgl. dazu auch BGer 5D_155/2022 vom 16. November 2022, E. 2).</w:t>
      </w:r>
    </w:p>
    <w:p>
      <w:r>
        <w:rPr>
          <w:b/>
        </w:rPr>
        <w:t>E. 3</w:t>
      </w:r>
    </w:p>
    <w:p>
      <w:r>
        <w:t>a) Der Gesuchsgegner äussert in der Beschwerdeschrift über weite Stre- cken lediglich seinen Unmut über verschiedene Behörden, deren Existenz als öf- fentlich-rechtliche Institutionen und Legitimation er in grundsätzlicher Art bestreitet (Urk. 16 S. 1-28). Der Gesuchsgegner gibt sodann unter der Überschrift "E. Meine besonderen Bedingungen" bekannt (Urk. 16 S. 28 f.): "1. Annahme von Rechtsbegehren a. [...] b. Sollte das Zürcher Obergericht Rechtsbegehren jeder Art zur Wei- terbearbeitung annehmen, so willigen alle nachstehenden Funktionä- re ein, mir für jedes Rechtsbegehren je eine Pönale zu bezahlen.</w:t>
      </w:r>
    </w:p>
    <w:p>
      <w:r>
        <w:t>- 3 - • Sie beträgt für die Präsidenten und Vizepräsidenten je 100 Kilo- gramm Gold, • für die Richter/-innen je 50 Kilogramm Gold und • für die Ersatzrichter/-innen je 25 Kilogramm Gold c. Sollte das Zürcher Obergericht die angenommenen Rechtsbegehren entscheiden, so verpflichten sich alle in Position 1b genannten Funk- tionäre, mir für jedes Rechtsbegehren die gleiche Pönale wie in Posi- tion 1b nochmals zu bezahlen. 2.-4.. [...]" b) Das Ergreifen von Rechtsmitteln wie auch andere Prozesshandlungen sind grundsätzlich bedingungsfeindlich. Auf ein bedingtes Rechtsmittel – wie die vorliegende Beschwerde – ist somit nicht einzutreten (ZK ZPO-Reetz, Vorbem. zu den Art. 308-318 N 49 m.w.H.; ZR 116/2017 Nr. 77 S. 260).</w:t>
      </w:r>
    </w:p>
    <w:p>
      <w:r>
        <w:rPr>
          <w:b/>
        </w:rPr>
        <w:t>E. 4</w:t>
      </w:r>
    </w:p>
    <w:p>
      <w:r>
        <w:t>a) Der Streitwert für das Beschwerdeverfahren beträgt Fr. 130.–. Die Spruchgebühr des Beschwerdeverfahrens ist in Anwendung von Art. 48 i.V.m. Art. 61 Abs. 1 GebV SchKG auf Fr. 150.– festzusetzen. b) Die Gerichtskosten des Beschwerdeverfahrens sind ausgangsgemäss dem Gesuchsgegner aufzuerlegen (Art. 106 Abs. 1 ZPO). c) Für das Beschwerdeverfahren sind keine Parteientschädigungen zuzu- sprechen, dem Gesuchsgegner zufolge seines Unterliegens, dem Gesuchsteller mangels relevanter Umtriebe (Art. 106 Abs. 1, Art. 95 Abs. 3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